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55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55A9" w:rsidRPr="003B55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55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1762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  <w:bookmarkEnd w:id="0"/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020B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E3132D" w:rsidRPr="00E3132D">
        <w:rPr>
          <w:rFonts w:ascii="PT Astra Serif" w:hAnsi="PT Astra Serif"/>
          <w:color w:val="000000"/>
          <w:sz w:val="28"/>
          <w:szCs w:val="28"/>
        </w:rPr>
        <w:t>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020B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020B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020B7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0B7C" w:rsidRDefault="00020B7C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20B7C" w:rsidRPr="00276E92" w:rsidTr="00D30374">
        <w:trPr>
          <w:trHeight w:val="229"/>
        </w:trPr>
        <w:tc>
          <w:tcPr>
            <w:tcW w:w="2288" w:type="pct"/>
          </w:tcPr>
          <w:p w:rsidR="00020B7C" w:rsidRPr="008C3903" w:rsidRDefault="00020B7C" w:rsidP="00D30374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20B7C" w:rsidRPr="008C3903" w:rsidRDefault="00020B7C" w:rsidP="00D303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0B7C" w:rsidRPr="008C3903" w:rsidRDefault="00020B7C" w:rsidP="00D3037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020B7C" w:rsidRPr="00FF3B38" w:rsidRDefault="00020B7C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2A300F">
          <w:headerReference w:type="default" r:id="rId10"/>
          <w:headerReference w:type="first" r:id="rId11"/>
          <w:pgSz w:w="11906" w:h="16838"/>
          <w:pgMar w:top="957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55A9" w:rsidRPr="003B55A9">
              <w:rPr>
                <w:rFonts w:ascii="PT Astra Serif" w:hAnsi="PT Astra Serif"/>
                <w:sz w:val="28"/>
                <w:szCs w:val="28"/>
              </w:rPr>
              <w:t>28.12.2023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B55A9">
              <w:rPr>
                <w:rFonts w:ascii="PT Astra Serif" w:hAnsi="PT Astra Serif"/>
                <w:sz w:val="28"/>
                <w:szCs w:val="28"/>
              </w:rPr>
              <w:t>12 – 1762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E3132D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1 927 399,8</w:t>
            </w: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E3132D">
              <w:rPr>
                <w:rFonts w:ascii="PT Astra Serif" w:hAnsi="PT Astra Serif"/>
                <w:sz w:val="28"/>
                <w:szCs w:val="28"/>
                <w:lang w:eastAsia="ru-RU"/>
              </w:rPr>
              <w:t>352 014,6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E3132D">
              <w:rPr>
                <w:rFonts w:ascii="PT Astra Serif" w:hAnsi="PT Astra Serif"/>
                <w:sz w:val="28"/>
                <w:szCs w:val="28"/>
                <w:lang w:eastAsia="ru-RU"/>
              </w:rPr>
              <w:t>397 284,7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DF716D">
              <w:rPr>
                <w:rFonts w:ascii="PT Astra Serif" w:hAnsi="PT Astra Serif"/>
                <w:sz w:val="28"/>
                <w:szCs w:val="28"/>
                <w:lang w:eastAsia="ru-RU"/>
              </w:rPr>
              <w:t>245 521,0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352 014,6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397 284,7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B6F8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245 521,0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FF3B38" w:rsidRDefault="008B6F8D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1 927 399,8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224 125,4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222 791,6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280 134,0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805 730,6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8B6F8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84 207,5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74 214,2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47CC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="00EE516B"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436,4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894 973,7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672597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2 570,1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46 829,2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352 276,5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41 988,2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210 044,6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47CC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64 471,9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75 289,9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2 470,1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1354AC" w:rsidRDefault="001354AC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1354A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12 360,0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115 425,5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12 360,0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100 000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115 425,5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79 132,6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70 138,4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80 071,7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307 279,3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737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0C5696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14 080,8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64 771,3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65 151,3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75 084,6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245 843,5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4 987,1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C5696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47 355,0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95 248,0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327 946,6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94 169,7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324 851,9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144 727,8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352 417,4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39 785,1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312 632,3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13 328,4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99 242,7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13 328,4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10 633,9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99 242,7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53 160,3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2 598,8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2 053,6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F1994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FF3B38" w:rsidRDefault="006F1994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2 434,5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1 889,3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545,2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1 726,2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1 683,6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B079C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42,6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E87B3D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45 103,</w:t>
            </w:r>
            <w:r w:rsidR="00A86F6D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65220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905,8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A86F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45 103,1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905,8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30 366,5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27 961,3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1 165,1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459,6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780,5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12 360,0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12 360,0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12 360,0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12 360,0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D7581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467 788,5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D7581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210 044,6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179 897,4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75 376,1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2 470,2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8932A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69 179,6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29 924,0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3 631,9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46 829,3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41 988,2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1 749,5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2 143,2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948,4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ED7581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79 132,6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64 771,3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70 138,4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65 151,3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242E3" w:rsidP="00D045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307</w:t>
            </w:r>
            <w:r w:rsidR="00D04529">
              <w:rPr>
                <w:rFonts w:ascii="PT Astra Serif" w:hAnsi="PT Astra Serif"/>
                <w:b/>
                <w:color w:val="000000"/>
                <w:lang w:eastAsia="ru-RU"/>
              </w:rPr>
              <w:t> 279,3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245 843,5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47 355,0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D7581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95 248,0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94 169,7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95 248,0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94 169,7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="007145AA">
              <w:rPr>
                <w:rFonts w:ascii="PT Astra Serif" w:hAnsi="PT Astra Serif"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color w:val="000000"/>
                <w:lang w:eastAsia="ru-RU"/>
              </w:rPr>
              <w:t>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AF1504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327 946,6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324 851,9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348 731,4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14 080,8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281 429,3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53 221,3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174 380,6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158 941,0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F152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283 371,6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278 384,5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80 071,7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75 084,6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4 987,1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4B44F1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144 727,8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F1525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144 727,8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F1525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F1525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915AFC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15AFC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C3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C3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 xml:space="preserve">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24 800,0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8F742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24 800,0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="004B44F1"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rPr>
                <w:rFonts w:ascii="PT Astra Serif" w:hAnsi="PT Astra Serif"/>
                <w:lang w:eastAsia="ru-RU"/>
              </w:rPr>
            </w:pPr>
          </w:p>
          <w:p w:rsidR="004B44F1" w:rsidRPr="00FF3B38" w:rsidRDefault="004B44F1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301 527,1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301 427,1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F24E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</w:t>
            </w:r>
            <w:r w:rsidR="004B44F1" w:rsidRPr="00FF3B38">
              <w:rPr>
                <w:rFonts w:ascii="PT Astra Serif" w:hAnsi="PT Astra Serif"/>
                <w:b/>
                <w:color w:val="000000"/>
                <w:lang w:eastAsia="ru-RU"/>
              </w:rPr>
              <w:t>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74FC3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504 820,4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74FC3">
              <w:rPr>
                <w:rFonts w:ascii="PT Astra Serif" w:hAnsi="PT Astra Serif"/>
                <w:sz w:val="28"/>
                <w:szCs w:val="28"/>
                <w:lang w:eastAsia="ru-RU"/>
              </w:rPr>
              <w:t>100 326,7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51 583,9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49 949,3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2026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167"/>
        <w:gridCol w:w="1929"/>
        <w:gridCol w:w="1382"/>
        <w:gridCol w:w="1221"/>
        <w:gridCol w:w="1650"/>
        <w:gridCol w:w="1376"/>
        <w:gridCol w:w="1494"/>
        <w:gridCol w:w="1819"/>
        <w:gridCol w:w="1638"/>
      </w:tblGrid>
      <w:tr w:rsidR="00514CFA" w:rsidRPr="00FF3B38" w:rsidTr="000C59B5">
        <w:trPr>
          <w:trHeight w:val="33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0C59B5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0C59B5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0C59B5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  <w:r w:rsidR="00514CFA" w:rsidRPr="00FF3B38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</w:t>
            </w:r>
            <w:r w:rsidR="00315B7A" w:rsidRPr="00FF3B38">
              <w:rPr>
                <w:rFonts w:ascii="PT Astra Serif" w:hAnsi="PT Astra Serif"/>
                <w:lang w:eastAsia="ru-RU"/>
              </w:rPr>
              <w:t>0</w:t>
            </w: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3 30</w:t>
            </w:r>
            <w:r w:rsidR="00514CFA"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  <w:r w:rsidR="00514CFA" w:rsidRPr="00FF3B38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BC40B3">
        <w:trPr>
          <w:trHeight w:val="9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0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47570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0C59B5">
        <w:trPr>
          <w:trHeight w:val="98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7E320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38 950,0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13 328,4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13 328,4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9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42"/>
        </w:trPr>
        <w:tc>
          <w:tcPr>
            <w:tcW w:w="4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13 328,4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13 328,4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10 633,9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10 999,3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6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1 563,0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9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1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4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F67B9A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B9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437,0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6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259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1202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9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827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468 331,3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8270D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462 482,9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3E179C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100 326,7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A0E5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66 400,0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51 583,9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49 949,3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0C59B5">
        <w:trPr>
          <w:trHeight w:val="32"/>
        </w:trPr>
        <w:tc>
          <w:tcPr>
            <w:tcW w:w="45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 ,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97" w:rsidRDefault="00972C97">
      <w:r>
        <w:separator/>
      </w:r>
    </w:p>
  </w:endnote>
  <w:endnote w:type="continuationSeparator" w:id="0">
    <w:p w:rsidR="00972C97" w:rsidRDefault="0097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97" w:rsidRDefault="00972C97">
      <w:r>
        <w:separator/>
      </w:r>
    </w:p>
  </w:footnote>
  <w:footnote w:type="continuationSeparator" w:id="0">
    <w:p w:rsidR="00972C97" w:rsidRDefault="0097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179C" w:rsidRPr="00782707" w:rsidRDefault="003E179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3B55A9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E179C" w:rsidRDefault="003E179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9C" w:rsidRDefault="003E179C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179C" w:rsidRPr="00FF3B38" w:rsidRDefault="003E179C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3B55A9">
          <w:rPr>
            <w:rFonts w:ascii="PT Astra Serif" w:hAnsi="PT Astra Serif"/>
            <w:noProof/>
            <w:sz w:val="28"/>
            <w:szCs w:val="28"/>
          </w:rPr>
          <w:t>66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E179C" w:rsidRPr="00782707" w:rsidRDefault="003E179C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3B55A9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9C" w:rsidRDefault="003E179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B7C"/>
    <w:rsid w:val="00020CE7"/>
    <w:rsid w:val="00022EB4"/>
    <w:rsid w:val="0004561B"/>
    <w:rsid w:val="00050586"/>
    <w:rsid w:val="00075487"/>
    <w:rsid w:val="00097D31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136D"/>
    <w:rsid w:val="00171A09"/>
    <w:rsid w:val="00174B1C"/>
    <w:rsid w:val="00174BF8"/>
    <w:rsid w:val="00174FC3"/>
    <w:rsid w:val="001A2C84"/>
    <w:rsid w:val="001A3B90"/>
    <w:rsid w:val="001A5FBD"/>
    <w:rsid w:val="001A62B2"/>
    <w:rsid w:val="001B1DDC"/>
    <w:rsid w:val="001B7D60"/>
    <w:rsid w:val="001C32A8"/>
    <w:rsid w:val="001C7CE2"/>
    <w:rsid w:val="001D751B"/>
    <w:rsid w:val="001E53E5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794D"/>
    <w:rsid w:val="002A16C1"/>
    <w:rsid w:val="002A300F"/>
    <w:rsid w:val="002B4FD2"/>
    <w:rsid w:val="002C09A8"/>
    <w:rsid w:val="002C2789"/>
    <w:rsid w:val="002C6C4D"/>
    <w:rsid w:val="002D1CBA"/>
    <w:rsid w:val="002E54BE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80F5B"/>
    <w:rsid w:val="003A2384"/>
    <w:rsid w:val="003A44CA"/>
    <w:rsid w:val="003B55A9"/>
    <w:rsid w:val="003C3A0B"/>
    <w:rsid w:val="003C4E5A"/>
    <w:rsid w:val="003D216B"/>
    <w:rsid w:val="003D68D0"/>
    <w:rsid w:val="003E179C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2B45"/>
    <w:rsid w:val="00504D83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72597"/>
    <w:rsid w:val="006A12ED"/>
    <w:rsid w:val="006B259F"/>
    <w:rsid w:val="006C5B31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28F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756F2"/>
    <w:rsid w:val="00886A38"/>
    <w:rsid w:val="008932A0"/>
    <w:rsid w:val="00895913"/>
    <w:rsid w:val="008A457D"/>
    <w:rsid w:val="008A4883"/>
    <w:rsid w:val="008B6F8D"/>
    <w:rsid w:val="008B78B8"/>
    <w:rsid w:val="008F2E0C"/>
    <w:rsid w:val="008F3FCD"/>
    <w:rsid w:val="008F6668"/>
    <w:rsid w:val="008F7421"/>
    <w:rsid w:val="008F7F96"/>
    <w:rsid w:val="009110D2"/>
    <w:rsid w:val="00915AFC"/>
    <w:rsid w:val="0095426F"/>
    <w:rsid w:val="00955CA8"/>
    <w:rsid w:val="00972C97"/>
    <w:rsid w:val="009738E0"/>
    <w:rsid w:val="00984B10"/>
    <w:rsid w:val="00986551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24EB9"/>
    <w:rsid w:val="00A26D06"/>
    <w:rsid w:val="00A26F75"/>
    <w:rsid w:val="00A333F8"/>
    <w:rsid w:val="00A353BD"/>
    <w:rsid w:val="00A35B8D"/>
    <w:rsid w:val="00A3712C"/>
    <w:rsid w:val="00A417BE"/>
    <w:rsid w:val="00A44979"/>
    <w:rsid w:val="00A67E69"/>
    <w:rsid w:val="00A74F59"/>
    <w:rsid w:val="00A76E47"/>
    <w:rsid w:val="00A82A22"/>
    <w:rsid w:val="00A84DEF"/>
    <w:rsid w:val="00A86F6D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658"/>
    <w:rsid w:val="00BA531A"/>
    <w:rsid w:val="00BC40B3"/>
    <w:rsid w:val="00BD2261"/>
    <w:rsid w:val="00BD2AE0"/>
    <w:rsid w:val="00BF2DDD"/>
    <w:rsid w:val="00BF7EE5"/>
    <w:rsid w:val="00C003EA"/>
    <w:rsid w:val="00C010B5"/>
    <w:rsid w:val="00C11952"/>
    <w:rsid w:val="00C1402A"/>
    <w:rsid w:val="00C334EB"/>
    <w:rsid w:val="00C46493"/>
    <w:rsid w:val="00C60291"/>
    <w:rsid w:val="00C65037"/>
    <w:rsid w:val="00C75069"/>
    <w:rsid w:val="00C8246D"/>
    <w:rsid w:val="00C92F8C"/>
    <w:rsid w:val="00CC4111"/>
    <w:rsid w:val="00CF25B5"/>
    <w:rsid w:val="00CF3559"/>
    <w:rsid w:val="00D04529"/>
    <w:rsid w:val="00D16885"/>
    <w:rsid w:val="00D23ED2"/>
    <w:rsid w:val="00D35525"/>
    <w:rsid w:val="00D36C78"/>
    <w:rsid w:val="00D60FED"/>
    <w:rsid w:val="00D735BD"/>
    <w:rsid w:val="00D80BA6"/>
    <w:rsid w:val="00DA1271"/>
    <w:rsid w:val="00DB5289"/>
    <w:rsid w:val="00DF0E31"/>
    <w:rsid w:val="00DF6F09"/>
    <w:rsid w:val="00DF716D"/>
    <w:rsid w:val="00E03E77"/>
    <w:rsid w:val="00E06FAE"/>
    <w:rsid w:val="00E11B07"/>
    <w:rsid w:val="00E14213"/>
    <w:rsid w:val="00E24BC6"/>
    <w:rsid w:val="00E3132D"/>
    <w:rsid w:val="00E31471"/>
    <w:rsid w:val="00E36BE5"/>
    <w:rsid w:val="00E36FE7"/>
    <w:rsid w:val="00E41E47"/>
    <w:rsid w:val="00E467DE"/>
    <w:rsid w:val="00E51C97"/>
    <w:rsid w:val="00E61BA7"/>
    <w:rsid w:val="00E727C9"/>
    <w:rsid w:val="00E7680E"/>
    <w:rsid w:val="00E838F6"/>
    <w:rsid w:val="00E87B3D"/>
    <w:rsid w:val="00E94D29"/>
    <w:rsid w:val="00EA28FD"/>
    <w:rsid w:val="00ED7581"/>
    <w:rsid w:val="00EE3676"/>
    <w:rsid w:val="00EE516B"/>
    <w:rsid w:val="00F12193"/>
    <w:rsid w:val="00F24E5C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6022"/>
    <w:rsid w:val="00FA0E50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94B0-C920-4A29-8B2E-4CAA0C32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68</Pages>
  <Words>13695</Words>
  <Characters>78066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2023-12-12T13:50:00Z</cp:lastPrinted>
  <dcterms:created xsi:type="dcterms:W3CDTF">2023-12-28T13:05:00Z</dcterms:created>
  <dcterms:modified xsi:type="dcterms:W3CDTF">2023-12-28T13:05:00Z</dcterms:modified>
</cp:coreProperties>
</file>