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5B" w:rsidRDefault="00163B2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0"/>
          <w:szCs w:val="0"/>
          <w:shd w:val="clear" w:color="auto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14680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D5B" w:rsidRDefault="00163B2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color w:val="000000"/>
          <w:sz w:val="34"/>
        </w:rPr>
        <w:t xml:space="preserve">АДМИНИСТРАЦИЯ </w:t>
      </w:r>
    </w:p>
    <w:p w:rsidR="00E33D5B" w:rsidRDefault="00163B2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color w:val="000000"/>
          <w:sz w:val="34"/>
        </w:rPr>
        <w:t xml:space="preserve">МУНИЦИПАЛЬНОГО ОБРАЗОВАНИЯ </w:t>
      </w:r>
    </w:p>
    <w:p w:rsidR="00E33D5B" w:rsidRDefault="00163B2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color w:val="000000"/>
          <w:sz w:val="34"/>
        </w:rPr>
        <w:t xml:space="preserve">ЩЁКИНСКИЙ РАЙОН </w:t>
      </w:r>
    </w:p>
    <w:p w:rsidR="00E33D5B" w:rsidRDefault="00E33D5B">
      <w:pPr>
        <w:spacing w:before="200" w:line="200" w:lineRule="exact"/>
        <w:jc w:val="center"/>
        <w:rPr>
          <w:rFonts w:ascii="PT Astra Serif" w:hAnsi="PT Astra Serif"/>
          <w:b/>
          <w:color w:val="000000"/>
          <w:sz w:val="33"/>
          <w:szCs w:val="33"/>
        </w:rPr>
      </w:pPr>
    </w:p>
    <w:p w:rsidR="00E33D5B" w:rsidRDefault="00163B25">
      <w:pPr>
        <w:spacing w:before="200" w:line="20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color w:val="000000"/>
          <w:sz w:val="33"/>
          <w:szCs w:val="33"/>
        </w:rPr>
        <w:t>ПОСТАНОВЛЕНИЕ</w:t>
      </w:r>
    </w:p>
    <w:p w:rsidR="00E33D5B" w:rsidRDefault="00E33D5B">
      <w:pPr>
        <w:spacing w:before="600" w:line="200" w:lineRule="exact"/>
        <w:jc w:val="center"/>
        <w:rPr>
          <w:rFonts w:ascii="PT Astra Serif" w:hAnsi="PT Astra Serif"/>
          <w:b/>
          <w:color w:val="000000"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E33D5B">
        <w:trPr>
          <w:trHeight w:val="146"/>
        </w:trPr>
        <w:tc>
          <w:tcPr>
            <w:tcW w:w="5847" w:type="dxa"/>
            <w:shd w:val="clear" w:color="auto" w:fill="auto"/>
          </w:tcPr>
          <w:p w:rsidR="00E33D5B" w:rsidRDefault="009553E3">
            <w:pPr>
              <w:pStyle w:val="affd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о</w:t>
            </w:r>
            <w:r w:rsidR="00163B25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 xml:space="preserve"> 29.04.2025</w:t>
            </w:r>
          </w:p>
        </w:tc>
        <w:tc>
          <w:tcPr>
            <w:tcW w:w="2407" w:type="dxa"/>
            <w:shd w:val="clear" w:color="auto" w:fill="auto"/>
          </w:tcPr>
          <w:p w:rsidR="00E33D5B" w:rsidRDefault="00163B25">
            <w:pPr>
              <w:pStyle w:val="affd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№</w:t>
            </w:r>
            <w:r w:rsidR="009553E3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 xml:space="preserve"> 4 – 775</w:t>
            </w:r>
          </w:p>
        </w:tc>
      </w:tr>
    </w:tbl>
    <w:p w:rsidR="00E33D5B" w:rsidRDefault="00E33D5B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E33D5B" w:rsidRDefault="00E33D5B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E33D5B" w:rsidRDefault="00163B25">
      <w:pPr>
        <w:pStyle w:val="afb"/>
        <w:jc w:val="center"/>
        <w:rPr>
          <w:rFonts w:ascii="PT Astra Serif" w:eastAsia="PT Astra Serif" w:hAnsi="PT Astra Serif" w:cs="PT Astra Serif"/>
          <w:b/>
          <w:bCs/>
          <w:color w:val="000000"/>
          <w:szCs w:val="28"/>
        </w:rPr>
      </w:pPr>
      <w:r>
        <w:rPr>
          <w:rFonts w:ascii="PT Astra Serif" w:eastAsia="PT Astra Serif" w:hAnsi="PT Astra Serif" w:cs="PT Astra Serif"/>
          <w:b/>
          <w:bCs/>
          <w:color w:val="000000"/>
          <w:szCs w:val="28"/>
          <w:highlight w:val="white"/>
        </w:rPr>
        <w:t xml:space="preserve">О внесении изменений в постановление администрации </w:t>
      </w:r>
    </w:p>
    <w:p w:rsidR="00E33D5B" w:rsidRDefault="00163B25">
      <w:pPr>
        <w:pStyle w:val="affc"/>
        <w:jc w:val="center"/>
        <w:rPr>
          <w:rFonts w:ascii="PT Astra Serif" w:hAnsi="PT Astra Serif"/>
        </w:rPr>
      </w:pPr>
      <w:proofErr w:type="spellStart"/>
      <w:r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  <w:highlight w:val="white"/>
        </w:rPr>
        <w:t>Щекинского</w:t>
      </w:r>
      <w:proofErr w:type="spellEnd"/>
      <w:r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  <w:highlight w:val="white"/>
        </w:rPr>
        <w:t xml:space="preserve"> района от 13.03.2017 № 3-260 </w:t>
      </w:r>
      <w:r>
        <w:rPr>
          <w:rFonts w:ascii="PT Astra Serif" w:eastAsia="PT Astra Serif" w:hAnsi="PT Astra Serif" w:cs="PT Astra Serif"/>
          <w:b/>
          <w:bCs/>
          <w:color w:val="000000"/>
          <w:sz w:val="28"/>
          <w:highlight w:val="white"/>
        </w:rPr>
        <w:t xml:space="preserve">«Об организации и проведении мониторинга качества управления муниципальными финансами и платежеспособности муниципальных образований (поселений) </w:t>
      </w:r>
      <w:proofErr w:type="spellStart"/>
      <w:r>
        <w:rPr>
          <w:rFonts w:ascii="PT Astra Serif" w:eastAsia="PT Astra Serif" w:hAnsi="PT Astra Serif" w:cs="PT Astra Serif"/>
          <w:b/>
          <w:bCs/>
          <w:color w:val="000000"/>
          <w:sz w:val="28"/>
          <w:highlight w:val="white"/>
        </w:rPr>
        <w:t>Щекинского</w:t>
      </w:r>
      <w:proofErr w:type="spellEnd"/>
      <w:r>
        <w:rPr>
          <w:rFonts w:ascii="PT Astra Serif" w:eastAsia="PT Astra Serif" w:hAnsi="PT Astra Serif" w:cs="PT Astra Serif"/>
          <w:b/>
          <w:bCs/>
          <w:color w:val="000000"/>
          <w:sz w:val="28"/>
          <w:highlight w:val="white"/>
        </w:rPr>
        <w:t xml:space="preserve"> район</w:t>
      </w:r>
      <w:r>
        <w:rPr>
          <w:rFonts w:ascii="PT Astra Serif" w:eastAsia="PT Astra Serif" w:hAnsi="PT Astra Serif" w:cs="PT Astra Serif"/>
          <w:b/>
          <w:bCs/>
          <w:color w:val="000000"/>
          <w:sz w:val="28"/>
        </w:rPr>
        <w:t>»</w:t>
      </w:r>
    </w:p>
    <w:p w:rsidR="00E33D5B" w:rsidRDefault="00E33D5B">
      <w:pPr>
        <w:jc w:val="center"/>
        <w:rPr>
          <w:rFonts w:ascii="PT Astra Serif" w:hAnsi="PT Astra Serif"/>
          <w:b/>
          <w:color w:val="000000"/>
          <w:sz w:val="20"/>
          <w:szCs w:val="20"/>
          <w:lang w:eastAsia="ru-RU"/>
        </w:rPr>
      </w:pPr>
    </w:p>
    <w:p w:rsidR="00E33D5B" w:rsidRDefault="00E33D5B">
      <w:pPr>
        <w:jc w:val="both"/>
        <w:rPr>
          <w:rFonts w:ascii="PT Astra Serif" w:hAnsi="PT Astra Serif"/>
          <w:color w:val="000000"/>
          <w:sz w:val="20"/>
          <w:szCs w:val="20"/>
        </w:rPr>
      </w:pPr>
    </w:p>
    <w:p w:rsidR="00E33D5B" w:rsidRDefault="00163B25" w:rsidP="00B22E0A">
      <w:pPr>
        <w:spacing w:line="360" w:lineRule="exact"/>
        <w:ind w:firstLine="709"/>
        <w:jc w:val="both"/>
        <w:rPr>
          <w:rFonts w:ascii="PT Astra Serif" w:hAnsi="PT Astra Serif" w:cs="PT Astra Serif"/>
          <w:szCs w:val="28"/>
        </w:rPr>
      </w:pPr>
      <w:proofErr w:type="gramStart"/>
      <w:r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t xml:space="preserve">В соответствии с Решением Собрания представителей </w:t>
      </w: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t xml:space="preserve"> района от 30.11.2012 № 44/496 «Об утверждении Положения о межбюджетных отношениях в муниципальном образовании Щекинский район», постановлением администрации Тульской области от 29.06.2011 № 512 «Об организации и проведении мониторинга качества управления муниципальными финансами и платежеспособности муниципальных районов и городских округов Тульской области», на основании Устава </w:t>
      </w: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t>Щ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екинского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color w:val="000000"/>
          <w:spacing w:val="-2"/>
          <w:sz w:val="28"/>
          <w:szCs w:val="28"/>
        </w:rPr>
        <w:t>муниципального района Тульской области</w:t>
      </w:r>
      <w:r>
        <w:rPr>
          <w:rFonts w:ascii="PT Astra Serif" w:eastAsia="PT Astra Serif" w:hAnsi="PT Astra Serif" w:cs="PT Astra Serif"/>
          <w:color w:val="000000"/>
          <w:spacing w:val="-2"/>
          <w:sz w:val="28"/>
          <w:szCs w:val="28"/>
          <w:lang w:eastAsia="ru-RU"/>
        </w:rPr>
        <w:t xml:space="preserve"> администрация </w:t>
      </w:r>
      <w:proofErr w:type="spellStart"/>
      <w:r>
        <w:rPr>
          <w:rFonts w:ascii="PT Astra Serif" w:eastAsia="PT Astra Serif" w:hAnsi="PT Astra Serif" w:cs="PT Astra Serif"/>
          <w:color w:val="000000"/>
          <w:spacing w:val="-2"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/>
          <w:spacing w:val="-2"/>
          <w:sz w:val="28"/>
          <w:szCs w:val="28"/>
          <w:lang w:eastAsia="ru-RU"/>
        </w:rPr>
        <w:t xml:space="preserve"> района </w:t>
      </w:r>
      <w:r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t>ПОСТАНОВЛЯЕТ:</w:t>
      </w:r>
      <w:proofErr w:type="gramEnd"/>
    </w:p>
    <w:p w:rsidR="00E33D5B" w:rsidRDefault="00163B25" w:rsidP="00B22E0A">
      <w:pPr>
        <w:pStyle w:val="affc"/>
        <w:spacing w:line="360" w:lineRule="exact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t xml:space="preserve">1. Внести в </w:t>
      </w: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  <w:lang w:eastAsia="ru-RU"/>
        </w:rPr>
        <w:t xml:space="preserve">постановление администрации </w:t>
      </w: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  <w:lang w:eastAsia="ru-RU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  <w:lang w:eastAsia="ru-RU"/>
        </w:rPr>
        <w:t xml:space="preserve"> района от 13.03.2017 № 3-260 «Об организации и проведении мониторинга качества управления муниципальными финансами и платежеспособности муниципальных образований (поселений) </w:t>
      </w: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  <w:lang w:eastAsia="ru-RU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  <w:lang w:eastAsia="ru-RU"/>
        </w:rPr>
        <w:t xml:space="preserve"> района» </w:t>
      </w:r>
      <w:r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t>изменения, изложив приложения № 2 и № 3</w:t>
      </w: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  <w:lang w:eastAsia="ru-RU"/>
        </w:rPr>
        <w:t xml:space="preserve"> в новой редакции</w:t>
      </w:r>
      <w:r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t xml:space="preserve"> (приложение № 1, приложение № 2 соответственно);</w:t>
      </w:r>
    </w:p>
    <w:p w:rsidR="00E33D5B" w:rsidRDefault="00163B25" w:rsidP="00B22E0A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t>2. 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t>Настоящее п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остановление </w:t>
      </w:r>
      <w:r>
        <w:rPr>
          <w:rFonts w:ascii="PT Astra Serif" w:hAnsi="PT Astra Serif"/>
          <w:sz w:val="28"/>
          <w:szCs w:val="28"/>
        </w:rPr>
        <w:t>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Эл № ФС 77-74320 от 19.11.2018), и разместить на официальном сайте муниципального образования Щекинский район.</w:t>
      </w:r>
      <w:proofErr w:type="gramEnd"/>
    </w:p>
    <w:p w:rsidR="00E33D5B" w:rsidRDefault="00163B25" w:rsidP="00B22E0A">
      <w:pPr>
        <w:spacing w:line="360" w:lineRule="exact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>3. Настоящее постановление вступает в силу со дня официального обнародования и распространяется на правоотношения, возникшие с 01.01.2025.</w:t>
      </w:r>
    </w:p>
    <w:p w:rsidR="00E33D5B" w:rsidRDefault="00E33D5B" w:rsidP="00B22E0A">
      <w:pPr>
        <w:spacing w:line="360" w:lineRule="exact"/>
        <w:ind w:firstLine="709"/>
        <w:jc w:val="both"/>
        <w:rPr>
          <w:rFonts w:ascii="PT Astra Serif" w:hAnsi="PT Astra Serif" w:cs="PT Astra Serif"/>
          <w:color w:val="000000"/>
        </w:rPr>
      </w:pPr>
    </w:p>
    <w:p w:rsidR="00E33D5B" w:rsidRDefault="00E33D5B" w:rsidP="00B22E0A">
      <w:pPr>
        <w:spacing w:line="360" w:lineRule="exact"/>
        <w:ind w:firstLine="709"/>
        <w:jc w:val="both"/>
        <w:rPr>
          <w:rFonts w:ascii="PT Astra Serif" w:hAnsi="PT Astra Serif" w:cs="PT Astra Serif"/>
          <w:color w:val="000000"/>
        </w:rPr>
      </w:pPr>
    </w:p>
    <w:p w:rsidR="00E33D5B" w:rsidRDefault="00E33D5B">
      <w:pPr>
        <w:rPr>
          <w:rFonts w:ascii="PT Astra Serif" w:hAnsi="PT Astra Serif" w:cs="PT Astra Serif"/>
          <w:color w:val="000000"/>
        </w:rPr>
      </w:pPr>
    </w:p>
    <w:tbl>
      <w:tblPr>
        <w:tblStyle w:val="affe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33D5B">
        <w:trPr>
          <w:trHeight w:val="229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E33D5B" w:rsidRDefault="00163B25">
            <w:pPr>
              <w:pStyle w:val="affd"/>
              <w:ind w:right="-119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D5B" w:rsidRDefault="00E33D5B">
            <w:pPr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D5B" w:rsidRDefault="00163B2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33D5B" w:rsidRDefault="00E33D5B">
      <w:pPr>
        <w:sectPr w:rsidR="00E33D5B">
          <w:headerReference w:type="default" r:id="rId9"/>
          <w:pgSz w:w="11906" w:h="16838"/>
          <w:pgMar w:top="1134" w:right="850" w:bottom="1134" w:left="1701" w:header="567" w:footer="0" w:gutter="0"/>
          <w:cols w:space="720"/>
          <w:formProt w:val="0"/>
          <w:titlePg/>
          <w:docGrid w:linePitch="360"/>
        </w:sectPr>
      </w:pPr>
    </w:p>
    <w:tbl>
      <w:tblPr>
        <w:tblW w:w="4285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285"/>
      </w:tblGrid>
      <w:tr w:rsidR="00E33D5B">
        <w:trPr>
          <w:trHeight w:val="1846"/>
        </w:trPr>
        <w:tc>
          <w:tcPr>
            <w:tcW w:w="4285" w:type="dxa"/>
          </w:tcPr>
          <w:p w:rsidR="00E33D5B" w:rsidRDefault="00163B25">
            <w:pPr>
              <w:pStyle w:val="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 № 1</w:t>
            </w:r>
          </w:p>
          <w:p w:rsidR="00E33D5B" w:rsidRDefault="00163B25">
            <w:pPr>
              <w:pStyle w:val="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E33D5B" w:rsidRDefault="00163B25">
            <w:pPr>
              <w:pStyle w:val="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E33D5B" w:rsidRDefault="00163B25">
            <w:pPr>
              <w:pStyle w:val="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E33D5B" w:rsidRDefault="00E33D5B">
            <w:pPr>
              <w:pStyle w:val="26"/>
              <w:jc w:val="center"/>
              <w:rPr>
                <w:rFonts w:ascii="PT Astra Serif" w:hAnsi="PT Astra Serif"/>
                <w:color w:val="000000"/>
                <w:sz w:val="12"/>
                <w:szCs w:val="12"/>
              </w:rPr>
            </w:pPr>
          </w:p>
          <w:p w:rsidR="00E33D5B" w:rsidRDefault="00163B25" w:rsidP="009553E3">
            <w:pPr>
              <w:pStyle w:val="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от </w:t>
            </w:r>
            <w:r w:rsidR="009553E3">
              <w:rPr>
                <w:rFonts w:ascii="PT Astra Serif" w:hAnsi="PT Astra Serif"/>
                <w:color w:val="000000"/>
                <w:sz w:val="28"/>
                <w:szCs w:val="28"/>
              </w:rPr>
              <w:t>29.04.2025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№ </w:t>
            </w:r>
            <w:r w:rsidR="009553E3">
              <w:rPr>
                <w:rFonts w:ascii="PT Astra Serif" w:hAnsi="PT Astra Serif"/>
                <w:color w:val="000000"/>
                <w:sz w:val="28"/>
                <w:szCs w:val="28"/>
              </w:rPr>
              <w:t>4 – 775</w:t>
            </w:r>
          </w:p>
        </w:tc>
      </w:tr>
    </w:tbl>
    <w:p w:rsidR="00E33D5B" w:rsidRDefault="00E33D5B">
      <w:pPr>
        <w:jc w:val="right"/>
        <w:rPr>
          <w:rFonts w:ascii="PT Astra Serif" w:hAnsi="PT Astra Serif"/>
          <w:color w:val="000000"/>
          <w:sz w:val="16"/>
          <w:szCs w:val="16"/>
        </w:rPr>
      </w:pPr>
    </w:p>
    <w:tbl>
      <w:tblPr>
        <w:tblW w:w="4285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285"/>
      </w:tblGrid>
      <w:tr w:rsidR="00E33D5B">
        <w:trPr>
          <w:trHeight w:val="1846"/>
        </w:trPr>
        <w:tc>
          <w:tcPr>
            <w:tcW w:w="4285" w:type="dxa"/>
          </w:tcPr>
          <w:p w:rsidR="00E33D5B" w:rsidRDefault="00163B25">
            <w:pPr>
              <w:pStyle w:val="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Приложение № 2</w:t>
            </w:r>
          </w:p>
          <w:p w:rsidR="00E33D5B" w:rsidRDefault="00163B25">
            <w:pPr>
              <w:pStyle w:val="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E33D5B" w:rsidRDefault="00163B25">
            <w:pPr>
              <w:pStyle w:val="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E33D5B" w:rsidRDefault="00163B25">
            <w:pPr>
              <w:pStyle w:val="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E33D5B" w:rsidRDefault="00E33D5B">
            <w:pPr>
              <w:pStyle w:val="26"/>
              <w:jc w:val="center"/>
              <w:rPr>
                <w:rFonts w:ascii="PT Astra Serif" w:hAnsi="PT Astra Serif"/>
                <w:color w:val="000000"/>
                <w:sz w:val="12"/>
                <w:szCs w:val="12"/>
              </w:rPr>
            </w:pPr>
          </w:p>
          <w:p w:rsidR="00E33D5B" w:rsidRDefault="00163B25">
            <w:pPr>
              <w:pStyle w:val="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от 13.03.2017 № 3-260</w:t>
            </w:r>
          </w:p>
        </w:tc>
      </w:tr>
    </w:tbl>
    <w:p w:rsidR="00E33D5B" w:rsidRDefault="00E33D5B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E33D5B" w:rsidRDefault="00163B25">
      <w:pPr>
        <w:spacing w:line="57" w:lineRule="atLeast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color w:val="000000"/>
          <w:sz w:val="28"/>
        </w:rPr>
        <w:t>ПЕРЕЧЕНЬ</w:t>
      </w:r>
    </w:p>
    <w:p w:rsidR="00E33D5B" w:rsidRDefault="00163B25">
      <w:pPr>
        <w:spacing w:line="57" w:lineRule="atLeast"/>
        <w:jc w:val="center"/>
        <w:rPr>
          <w:rFonts w:ascii="PT Astra Serif" w:hAnsi="PT Astra Serif" w:cs="PT Astra Serif"/>
        </w:rPr>
      </w:pPr>
      <w:r>
        <w:rPr>
          <w:rFonts w:ascii="PT Astra Serif" w:hAnsi="PT Astra Serif"/>
          <w:b/>
          <w:color w:val="000000"/>
          <w:sz w:val="28"/>
        </w:rPr>
        <w:t>индикаторов и показателей, характеризующ</w:t>
      </w: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их качество управления муниципальными финансами и платежеспособность муниципальных </w:t>
      </w:r>
    </w:p>
    <w:p w:rsidR="00E33D5B" w:rsidRDefault="00163B25">
      <w:pPr>
        <w:spacing w:line="57" w:lineRule="atLeast"/>
        <w:jc w:val="center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образований (поселений) </w:t>
      </w:r>
      <w:proofErr w:type="spellStart"/>
      <w:r>
        <w:rPr>
          <w:rFonts w:ascii="PT Astra Serif" w:eastAsia="PT Astra Serif" w:hAnsi="PT Astra Serif" w:cs="PT Astra Serif"/>
          <w:b/>
          <w:color w:val="000000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 района</w:t>
      </w:r>
    </w:p>
    <w:p w:rsidR="00E33D5B" w:rsidRDefault="00E33D5B">
      <w:pPr>
        <w:spacing w:line="57" w:lineRule="atLeast"/>
        <w:jc w:val="both"/>
        <w:rPr>
          <w:rFonts w:ascii="PT Astra Serif" w:hAnsi="PT Astra Serif" w:cs="PT Astra Serif"/>
        </w:rPr>
      </w:pPr>
    </w:p>
    <w:tbl>
      <w:tblPr>
        <w:tblStyle w:val="affe"/>
        <w:tblW w:w="9417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179"/>
        <w:gridCol w:w="4444"/>
        <w:gridCol w:w="1085"/>
      </w:tblGrid>
      <w:tr w:rsidR="00E33D5B">
        <w:trPr>
          <w:trHeight w:val="106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D5B" w:rsidRDefault="00163B25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</w:rPr>
              <w:t xml:space="preserve">№ </w:t>
            </w:r>
            <w:proofErr w:type="gramStart"/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</w:rPr>
              <w:t>п</w:t>
            </w:r>
            <w:proofErr w:type="gramEnd"/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</w:rPr>
              <w:t>/п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D5B" w:rsidRDefault="00163B25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</w:rPr>
              <w:t>Наименование индикатора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D5B" w:rsidRDefault="00163B25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</w:rPr>
              <w:t>Показатели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D5B" w:rsidRDefault="00163B25">
            <w:pPr>
              <w:jc w:val="center"/>
              <w:rPr>
                <w:rFonts w:ascii="PT Astra Serif" w:hAnsi="PT Astra Serif" w:cs="PT Astra Serif"/>
                <w:b/>
              </w:rPr>
            </w:pPr>
            <w:proofErr w:type="spellStart"/>
            <w:proofErr w:type="gramStart"/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</w:rPr>
              <w:t>Удель-ный</w:t>
            </w:r>
            <w:proofErr w:type="spellEnd"/>
            <w:proofErr w:type="gramEnd"/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</w:rPr>
              <w:t xml:space="preserve"> вес индикатора</w:t>
            </w:r>
          </w:p>
        </w:tc>
      </w:tr>
    </w:tbl>
    <w:p w:rsidR="00E33D5B" w:rsidRDefault="00E33D5B">
      <w:pPr>
        <w:rPr>
          <w:sz w:val="2"/>
          <w:szCs w:val="2"/>
        </w:rPr>
      </w:pPr>
    </w:p>
    <w:tbl>
      <w:tblPr>
        <w:tblStyle w:val="affe"/>
        <w:tblW w:w="9417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179"/>
        <w:gridCol w:w="4444"/>
        <w:gridCol w:w="1085"/>
      </w:tblGrid>
      <w:tr w:rsidR="00E33D5B">
        <w:trPr>
          <w:trHeight w:val="231"/>
          <w:tblHeader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1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2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3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4</w:t>
            </w:r>
          </w:p>
        </w:tc>
      </w:tr>
      <w:tr w:rsidR="00E33D5B">
        <w:tc>
          <w:tcPr>
            <w:tcW w:w="9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Финансовая гибкость</w:t>
            </w:r>
          </w:p>
        </w:tc>
      </w:tr>
      <w:tr w:rsidR="00E33D5B" w:rsidTr="009553E3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P1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Динамика поступления налоговых доходов в бюджет муниципального образования (поселения)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Щекинского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 района в отчетном финансовом году по отношению к предшествующему отчетному финансовому году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Объем поступлений налоговых доходов в бюджет муниципального образования (поселения)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Щекинского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 района в отчетном финансовом году; объем поступлений налоговых доходов в бюджет муниципального образования (поселения)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Щекинского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 района в году, предшествующем отчетному финансовому году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0,8</w:t>
            </w:r>
          </w:p>
        </w:tc>
      </w:tr>
      <w:tr w:rsidR="00E33D5B" w:rsidTr="009553E3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P2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Динамика изменения размера дефицита бюджета муниципального образования (поселения)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lastRenderedPageBreak/>
              <w:t>Щекинского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 района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lastRenderedPageBreak/>
              <w:t xml:space="preserve">Процент дефицита, сложившийся по итогам исполнения за год (без учета изменений остатков средств на счетах и разницы между полученными и предоставленными </w:t>
            </w: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lastRenderedPageBreak/>
              <w:t xml:space="preserve">бюджетными кредитами); процент дефицита, сложившийся по итогам исполнения за предшествующий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отчетному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 финансовый год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lastRenderedPageBreak/>
              <w:t>0,6</w:t>
            </w:r>
          </w:p>
        </w:tc>
      </w:tr>
      <w:tr w:rsidR="00E33D5B" w:rsidTr="009553E3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lastRenderedPageBreak/>
              <w:t>P3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Соблюдение нормативов по формированию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Фактические расходы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1,0</w:t>
            </w:r>
          </w:p>
        </w:tc>
      </w:tr>
      <w:tr w:rsidR="00E33D5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P4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Зависимость бюджета от финансовой помощи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Доходы бюджета муниципального образования от безвозмездных перечислений от бюджетов других уровней, за исключением субвенций, иных межбюджетных трансфертов, субсидий за счет средств государственной корпорации - Фонда содействия реформированию ЖКХ и субсидий на решение вопросов местного значения межмуниципального характера; всего доходов бюджета муниципального образования (поселения)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Щекинского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 района, за исключением субвенций, иных межбюджетных трансфертов, субсидий за счет средств государственной корпорации - Фонда содействия реформированию ЖКХ и субсидий на решение вопросов </w:t>
            </w:r>
            <w:r>
              <w:rPr>
                <w:rFonts w:ascii="PT Astra Serif" w:eastAsia="PT Astra Serif" w:hAnsi="PT Astra Serif" w:cs="PT Astra Serif"/>
                <w:color w:val="000000"/>
                <w:spacing w:val="-14"/>
                <w:sz w:val="28"/>
              </w:rPr>
              <w:t>местного значения межмуниципального</w:t>
            </w: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 характера, предоставляемых из </w:t>
            </w: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lastRenderedPageBreak/>
              <w:t>1,0</w:t>
            </w:r>
          </w:p>
        </w:tc>
      </w:tr>
      <w:tr w:rsidR="00E33D5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lastRenderedPageBreak/>
              <w:t>P5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Объем просроченной кредиторской задолженности муниципальных казенных учреждений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Просроченная кредиторская задолженность муниципальных казенных учреждений муниципального образования (поселения)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Щекинского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 района на конец отчетного периода (за исключением кредиторской задолженности, образовавшейся в связи с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неперечислением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 субсидий и субвенций, иных межбюджетных трансфертов из бюджета области, иных межбюджетных трансфертов и субсидий на решение вопросов местного значения межмуниципального характера из бюджетов поселений)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1,0</w:t>
            </w:r>
          </w:p>
        </w:tc>
      </w:tr>
      <w:tr w:rsidR="00E33D5B" w:rsidTr="009553E3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P6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Объем просроченной </w:t>
            </w:r>
            <w:r w:rsidRPr="009553E3">
              <w:rPr>
                <w:rFonts w:ascii="PT Astra Serif" w:eastAsia="PT Astra Serif" w:hAnsi="PT Astra Serif" w:cs="PT Astra Serif"/>
                <w:color w:val="000000"/>
                <w:sz w:val="28"/>
              </w:rPr>
              <w:t>кредиторской задолженности</w:t>
            </w: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 муниципальных казенных учреждений по оплате труда с начислениями на оплату труда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Объем просроченной кредиторской задолженности муниципальных казенных учреждений по оплате труда с начислениями на оплату труда на конец отчетного периода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1,0</w:t>
            </w:r>
          </w:p>
        </w:tc>
      </w:tr>
      <w:tr w:rsidR="00E33D5B" w:rsidTr="009553E3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bottom w:w="0" w:type="dxa"/>
            </w:tcMar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P7</w:t>
            </w:r>
          </w:p>
        </w:tc>
        <w:tc>
          <w:tcPr>
            <w:tcW w:w="3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bottom w:w="0" w:type="dxa"/>
            </w:tcMar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Снижение и ликвидация просроченной кредиторской задолженности бюджетов муниципальных образований (поселений)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Щекинского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 района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 w:rsidP="009553E3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1.</w:t>
            </w:r>
            <w:r w:rsidR="009553E3">
              <w:rPr>
                <w:rFonts w:ascii="PT Astra Serif" w:eastAsia="PT Astra Serif" w:hAnsi="PT Astra Serif" w:cs="PT Astra Serif"/>
                <w:color w:val="000000"/>
                <w:sz w:val="28"/>
              </w:rPr>
              <w:t> </w:t>
            </w: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Проведение инвентаризации просроченной кредиторской задолженности местного бюджета, в том числе муниципальных учреждений. Анализ факторов и </w:t>
            </w:r>
            <w:r w:rsidRPr="009553E3">
              <w:rPr>
                <w:rFonts w:ascii="PT Astra Serif" w:eastAsia="PT Astra Serif" w:hAnsi="PT Astra Serif" w:cs="PT Astra Serif"/>
                <w:color w:val="000000"/>
                <w:spacing w:val="-10"/>
                <w:sz w:val="28"/>
              </w:rPr>
              <w:t xml:space="preserve">причин возникновения кредиторской </w:t>
            </w: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задолженности местного бюджета, в том числе муниципальных учреждений</w:t>
            </w:r>
          </w:p>
        </w:tc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bottom w:w="0" w:type="dxa"/>
            </w:tcMar>
          </w:tcPr>
          <w:p w:rsidR="00E33D5B" w:rsidRDefault="00163B25">
            <w:pPr>
              <w:spacing w:line="276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1,0</w:t>
            </w:r>
          </w:p>
        </w:tc>
      </w:tr>
      <w:tr w:rsidR="00E33D5B" w:rsidTr="009553E3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5B" w:rsidRDefault="00E33D5B">
            <w:pPr>
              <w:rPr>
                <w:rFonts w:ascii="PT Astra Serif" w:hAnsi="PT Astra Serif"/>
              </w:rPr>
            </w:pPr>
          </w:p>
        </w:tc>
        <w:tc>
          <w:tcPr>
            <w:tcW w:w="317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5B" w:rsidRDefault="00E33D5B">
            <w:pPr>
              <w:rPr>
                <w:rFonts w:ascii="PT Astra Serif" w:hAnsi="PT Astra Serif"/>
              </w:rPr>
            </w:pP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2. Разработка и утверждение плана </w:t>
            </w:r>
            <w:r w:rsidRPr="009553E3">
              <w:rPr>
                <w:rFonts w:ascii="PT Astra Serif" w:eastAsia="PT Astra Serif" w:hAnsi="PT Astra Serif" w:cs="PT Astra Serif"/>
                <w:color w:val="000000"/>
                <w:spacing w:val="-14"/>
                <w:sz w:val="28"/>
              </w:rPr>
              <w:t>мер по реструктуризации просроченной</w:t>
            </w: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 кредиторской задолженности местного бюджета, в том числе муниципальных учреждений</w:t>
            </w:r>
          </w:p>
        </w:tc>
        <w:tc>
          <w:tcPr>
            <w:tcW w:w="10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5B" w:rsidRDefault="00E33D5B">
            <w:pPr>
              <w:rPr>
                <w:rFonts w:ascii="PT Astra Serif" w:hAnsi="PT Astra Serif"/>
              </w:rPr>
            </w:pPr>
          </w:p>
        </w:tc>
      </w:tr>
      <w:tr w:rsidR="00E33D5B" w:rsidTr="009553E3"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E33D5B" w:rsidRDefault="00E33D5B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E33D5B" w:rsidRDefault="00E33D5B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3. Наличие порядка по мониторингу просроченной кредиторской задолженности местного бюджета, в том числе муниципальных учреждений, а также оперативной отчетност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и о ее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 состоянии и основных кредиторах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E33D5B" w:rsidRDefault="00E33D5B">
            <w:pPr>
              <w:spacing w:line="276" w:lineRule="atLeast"/>
              <w:jc w:val="center"/>
              <w:rPr>
                <w:rFonts w:ascii="PT Astra Serif" w:hAnsi="PT Astra Serif" w:cs="PT Astra Serif"/>
              </w:rPr>
            </w:pPr>
          </w:p>
        </w:tc>
      </w:tr>
      <w:tr w:rsidR="00E33D5B">
        <w:tc>
          <w:tcPr>
            <w:tcW w:w="70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5B" w:rsidRDefault="00E33D5B">
            <w:pPr>
              <w:rPr>
                <w:rFonts w:ascii="PT Astra Serif" w:hAnsi="PT Astra Serif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5B" w:rsidRDefault="00E33D5B">
            <w:pPr>
              <w:rPr>
                <w:rFonts w:ascii="PT Astra Serif" w:hAnsi="PT Astra Serif"/>
              </w:rPr>
            </w:pP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4. Публикации в информационно-телекоммуникационной сети «Интернет» информации о состоянии кредиторской задолженности, в том числе просроченной кредиторской задолженности местного бюджета и муниципальных учреждений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5B" w:rsidRDefault="00E33D5B">
            <w:pPr>
              <w:rPr>
                <w:rFonts w:ascii="PT Astra Serif" w:hAnsi="PT Astra Serif"/>
              </w:rPr>
            </w:pPr>
          </w:p>
        </w:tc>
      </w:tr>
      <w:tr w:rsidR="00E33D5B">
        <w:tc>
          <w:tcPr>
            <w:tcW w:w="70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5B" w:rsidRDefault="00E33D5B">
            <w:pPr>
              <w:rPr>
                <w:rFonts w:ascii="PT Astra Serif" w:hAnsi="PT Astra Serif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5B" w:rsidRDefault="00E33D5B">
            <w:pPr>
              <w:rPr>
                <w:rFonts w:ascii="PT Astra Serif" w:hAnsi="PT Astra Serif"/>
              </w:rPr>
            </w:pP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bottom w:w="0" w:type="dxa"/>
            </w:tcMar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5. Уровень управления муниципальными финансами, при котором просроченная кредиторская задолженность местного бюджета и муниципальных учреждений отсутствует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5B" w:rsidRDefault="00E33D5B">
            <w:pPr>
              <w:rPr>
                <w:rFonts w:ascii="PT Astra Serif" w:hAnsi="PT Astra Serif"/>
              </w:rPr>
            </w:pPr>
          </w:p>
        </w:tc>
      </w:tr>
      <w:tr w:rsidR="00E33D5B">
        <w:tc>
          <w:tcPr>
            <w:tcW w:w="9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Долговая нагрузка</w:t>
            </w:r>
          </w:p>
        </w:tc>
      </w:tr>
      <w:tr w:rsidR="00E33D5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P8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Динамика объема муниципального долга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Объем муниципального долга на конец отчетного периода; объем муниципального долга на конец предшествующего финансового года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0,75</w:t>
            </w:r>
          </w:p>
        </w:tc>
      </w:tr>
      <w:tr w:rsidR="00E33D5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P9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Соблюдение ограничения дефицита бюджета, установленного Бюджетным Кодексом Российской Федерации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eastAsia="PT Astra Serif" w:hAnsi="PT Astra Serif" w:cs="PT Astra Serif"/>
                <w:color w:val="000000"/>
                <w:sz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Дефицит бюджета муниципального образования; всего доходов бюджета муниципального образования (поселения)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Щекинского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 района без учета безвозмездных поступлений и (или) поступлений налоговых доходов по дополнительным нормативам отчислений</w:t>
            </w:r>
          </w:p>
          <w:p w:rsidR="009553E3" w:rsidRDefault="009553E3">
            <w:pPr>
              <w:spacing w:line="276" w:lineRule="atLeast"/>
              <w:jc w:val="both"/>
              <w:rPr>
                <w:rFonts w:ascii="PT Astra Serif" w:eastAsia="PT Astra Serif" w:hAnsi="PT Astra Serif" w:cs="PT Astra Serif"/>
                <w:color w:val="000000"/>
                <w:sz w:val="28"/>
              </w:rPr>
            </w:pPr>
          </w:p>
          <w:p w:rsidR="009553E3" w:rsidRDefault="009553E3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0,75</w:t>
            </w:r>
          </w:p>
        </w:tc>
      </w:tr>
      <w:tr w:rsidR="00E33D5B">
        <w:tc>
          <w:tcPr>
            <w:tcW w:w="9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lastRenderedPageBreak/>
              <w:t>Выполнение требований федерального законодательства</w:t>
            </w:r>
          </w:p>
        </w:tc>
      </w:tr>
      <w:tr w:rsidR="00E33D5B">
        <w:trPr>
          <w:trHeight w:val="240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P10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Соблюдение ограничения на объем долга, установленного Бюджетным </w:t>
            </w:r>
            <w:hyperlink r:id="rId10" w:tgtFrame="consultantplus://offline/ref=A9F9A8487FD04B7F3B562109D202477A6E47E7E71F5553261176DAB310q7y6G">
              <w:r>
                <w:rPr>
                  <w:rStyle w:val="af6"/>
                  <w:rFonts w:ascii="PT Astra Serif" w:eastAsia="PT Astra Serif" w:hAnsi="PT Astra Serif" w:cs="PT Astra Serif"/>
                  <w:color w:val="000000" w:themeColor="text1"/>
                  <w:sz w:val="28"/>
                  <w:u w:val="none"/>
                </w:rPr>
                <w:t>кодексом</w:t>
              </w:r>
            </w:hyperlink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 Российской Федерации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rPr>
                <w:rFonts w:ascii="PT Astra Serif" w:eastAsia="PT Astra Serif" w:hAnsi="PT Astra Serif" w:cs="PT Astra Serif"/>
                <w:color w:val="000000"/>
                <w:sz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Объем долга муниципального образования, доходы бюджета муниципального образования (поселения)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Щекинского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 района без учета безвозмездных перечислений из бюджетов других уровней и (или) поступлений налоговых доходов по дополнительным нормативам отчислений</w:t>
            </w:r>
          </w:p>
          <w:p w:rsidR="009553E3" w:rsidRDefault="009553E3">
            <w:pPr>
              <w:spacing w:line="276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0,75</w:t>
            </w:r>
          </w:p>
        </w:tc>
      </w:tr>
      <w:tr w:rsidR="00E33D5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P11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Соблюдение ограничения расходов на обслуживание долга, установленного Бюджетным </w:t>
            </w:r>
            <w:hyperlink r:id="rId11" w:tgtFrame="consultantplus://offline/ref=A9F9A8487FD04B7F3B562109D202477A6E47E7E71F5553261176DAB310q7y6G">
              <w:r>
                <w:rPr>
                  <w:rStyle w:val="af6"/>
                  <w:rFonts w:ascii="PT Astra Serif" w:eastAsia="PT Astra Serif" w:hAnsi="PT Astra Serif" w:cs="PT Astra Serif"/>
                  <w:color w:val="000000" w:themeColor="text1"/>
                  <w:sz w:val="28"/>
                  <w:u w:val="none"/>
                </w:rPr>
                <w:t>кодексом</w:t>
              </w:r>
            </w:hyperlink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 Российской Федерации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eastAsia="PT Astra Serif" w:hAnsi="PT Astra Serif" w:cs="PT Astra Serif"/>
                <w:color w:val="000000"/>
                <w:sz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Расходы на обслуживание долга муниципального образования (поселения)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Щекинского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 района; всего расходов бюджета муниципального образования,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  <w:p w:rsidR="009553E3" w:rsidRDefault="009553E3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0,75</w:t>
            </w:r>
          </w:p>
        </w:tc>
      </w:tr>
      <w:tr w:rsidR="00E33D5B">
        <w:tc>
          <w:tcPr>
            <w:tcW w:w="9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Учет и отчетность</w:t>
            </w:r>
          </w:p>
        </w:tc>
      </w:tr>
      <w:tr w:rsidR="00E33D5B" w:rsidTr="009553E3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P12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Действующий официальный сайт администрации муниципального образования (поселения)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Щекинского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 района с разделом финансового органа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Регулярное размещение в информационно-телекоммуникационной сети «Интернет» информационного ресурса, характеризующего бюджетный процесс муниципального образования (поселения)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Щекинского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 района, с использованием различных форматов визуализации (графиков, диаграмм, рисунков, схем), с пояснениями и комментариями.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 Подготовка материалов о бюджете и отчетов о его исполнении в понятной для граждан форме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0,5</w:t>
            </w:r>
          </w:p>
        </w:tc>
      </w:tr>
      <w:tr w:rsidR="00E33D5B" w:rsidTr="009553E3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bottom w:w="0" w:type="dxa"/>
            </w:tcMar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lastRenderedPageBreak/>
              <w:t>Р13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bottom w:w="0" w:type="dxa"/>
            </w:tcMar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Эффективность деятельности администрации по начислению и выгрузке платежей в ГИС ГМП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bottom w:w="0" w:type="dxa"/>
            </w:tcMar>
          </w:tcPr>
          <w:p w:rsidR="00E33D5B" w:rsidRDefault="00163B25">
            <w:pPr>
              <w:spacing w:line="57" w:lineRule="atLeast"/>
              <w:jc w:val="both"/>
              <w:rPr>
                <w:rFonts w:ascii="PT Astra Serif" w:eastAsia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8"/>
              </w:rPr>
              <w:t>Сумма платежей, администрируемых администратором доходов, поступивших в бюджет, отраженных в ГИС ГМП;</w:t>
            </w:r>
          </w:p>
          <w:p w:rsidR="00E33D5B" w:rsidRDefault="00163B25">
            <w:pPr>
              <w:spacing w:line="57" w:lineRule="atLeast"/>
              <w:jc w:val="both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8"/>
              </w:rPr>
              <w:t>Сумма платежей, начисленных администратором доходов муниципального образования в ГИС ГМП.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bottom w:w="0" w:type="dxa"/>
            </w:tcMar>
          </w:tcPr>
          <w:p w:rsidR="00E33D5B" w:rsidRDefault="00163B25">
            <w:pPr>
              <w:spacing w:line="276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1,0</w:t>
            </w:r>
          </w:p>
        </w:tc>
      </w:tr>
      <w:tr w:rsidR="00E33D5B" w:rsidTr="009553E3"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bottom w:w="0" w:type="dxa"/>
            </w:tcMar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P14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bottom w:w="0" w:type="dxa"/>
            </w:tcMar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Повышение квалификации работников органов местного самоуправления на регулярной основе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bottom w:w="0" w:type="dxa"/>
            </w:tcMar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Установление муниципальным правовым актом муниципального образования (поселения)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Щекинского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 района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порядка проведения курсов повышения квалификации работников органов местного самоуправления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bottom w:w="0" w:type="dxa"/>
            </w:tcMar>
          </w:tcPr>
          <w:p w:rsidR="00E33D5B" w:rsidRDefault="00163B25">
            <w:pPr>
              <w:spacing w:line="276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0,5</w:t>
            </w:r>
          </w:p>
        </w:tc>
      </w:tr>
      <w:tr w:rsidR="00E33D5B">
        <w:tc>
          <w:tcPr>
            <w:tcW w:w="9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Реализация Федерального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8"/>
              </w:rPr>
              <w:t xml:space="preserve"> </w:t>
            </w:r>
            <w:hyperlink r:id="rId12" w:tgtFrame="consultantplus://offline/ref=A9F9A8487FD04B7F3B562109D202477A6D4EE6E71F5753261176DAB310q7y6G">
              <w:r>
                <w:rPr>
                  <w:rStyle w:val="af6"/>
                  <w:rFonts w:ascii="PT Astra Serif" w:eastAsia="PT Astra Serif" w:hAnsi="PT Astra Serif" w:cs="PT Astra Serif"/>
                  <w:color w:val="000000" w:themeColor="text1"/>
                  <w:sz w:val="28"/>
                  <w:u w:val="none"/>
                </w:rPr>
                <w:t>закона</w:t>
              </w:r>
            </w:hyperlink>
            <w:r>
              <w:rPr>
                <w:rFonts w:ascii="PT Astra Serif" w:eastAsia="PT Astra Serif" w:hAnsi="PT Astra Serif" w:cs="PT Astra Serif"/>
                <w:color w:val="000000" w:themeColor="text1"/>
                <w:sz w:val="28"/>
              </w:rPr>
              <w:t xml:space="preserve"> от 8</w:t>
            </w: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 мая 2010 года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мероприятий по повышению эффективности бюджетных расходов</w:t>
            </w:r>
          </w:p>
        </w:tc>
      </w:tr>
      <w:tr w:rsidR="00E33D5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P15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Расходы бюджета муниципального образования (поселения)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Щекинского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 района, формируемые в рамках муниципальных программ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both"/>
              <w:rPr>
                <w:rFonts w:ascii="PT Astra Serif" w:hAnsi="PT Astra Serif" w:cs="PT Astra Serif"/>
              </w:rPr>
            </w:pP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Расходы бюджета муниципального образования (поселения)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Щекинского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 района, формируемые в рамках муниципальных программ с учетом субсидий из бюджета района (без учета субвенций, иных межбюджетных трансфертов из бюджетов других уровней); всего расходов бюджета муниципального образования в отчетном финансовом году (без учета субвенций, иных межбюджетных трансфертов из бюджетов других уровней, субсидий, перечисляемых в бюджет района для формирования районного фонда финансовой поддержки)</w:t>
            </w:r>
            <w:proofErr w:type="gramEnd"/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D5B" w:rsidRDefault="00163B25">
            <w:pPr>
              <w:spacing w:line="276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0,9</w:t>
            </w:r>
          </w:p>
        </w:tc>
      </w:tr>
    </w:tbl>
    <w:p w:rsidR="00E33D5B" w:rsidRDefault="00E33D5B">
      <w:pPr>
        <w:spacing w:line="57" w:lineRule="atLeast"/>
        <w:jc w:val="right"/>
        <w:rPr>
          <w:rFonts w:ascii="PT Astra Serif" w:hAnsi="PT Astra Serif" w:cs="PT Astra Serif"/>
        </w:rPr>
      </w:pPr>
    </w:p>
    <w:p w:rsidR="00E33D5B" w:rsidRDefault="00163B25">
      <w:pPr>
        <w:spacing w:line="57" w:lineRule="atLeast"/>
        <w:jc w:val="center"/>
        <w:rPr>
          <w:rFonts w:ascii="PT Astra Serif" w:eastAsia="PT Astra Serif" w:hAnsi="PT Astra Serif" w:cs="PT Astra Serif"/>
        </w:rPr>
        <w:sectPr w:rsidR="00E33D5B">
          <w:headerReference w:type="default" r:id="rId13"/>
          <w:headerReference w:type="first" r:id="rId14"/>
          <w:pgSz w:w="11906" w:h="16838"/>
          <w:pgMar w:top="1134" w:right="850" w:bottom="1134" w:left="1701" w:header="567" w:footer="0" w:gutter="0"/>
          <w:pgNumType w:start="1"/>
          <w:cols w:space="720"/>
          <w:formProt w:val="0"/>
          <w:titlePg/>
          <w:docGrid w:linePitch="360"/>
        </w:sectPr>
      </w:pPr>
      <w:r>
        <w:rPr>
          <w:rFonts w:ascii="PT Astra Serif" w:eastAsia="PT Astra Serif" w:hAnsi="PT Astra Serif" w:cs="PT Astra Serif"/>
        </w:rPr>
        <w:t>_____________________________________________</w:t>
      </w:r>
    </w:p>
    <w:tbl>
      <w:tblPr>
        <w:tblW w:w="4285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285"/>
      </w:tblGrid>
      <w:tr w:rsidR="00E33D5B">
        <w:trPr>
          <w:trHeight w:val="1846"/>
        </w:trPr>
        <w:tc>
          <w:tcPr>
            <w:tcW w:w="4285" w:type="dxa"/>
          </w:tcPr>
          <w:p w:rsidR="00E33D5B" w:rsidRDefault="00163B25">
            <w:pPr>
              <w:pStyle w:val="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 № 2</w:t>
            </w:r>
          </w:p>
          <w:p w:rsidR="00E33D5B" w:rsidRDefault="00163B25">
            <w:pPr>
              <w:pStyle w:val="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E33D5B" w:rsidRDefault="00163B25">
            <w:pPr>
              <w:pStyle w:val="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E33D5B" w:rsidRDefault="00163B25">
            <w:pPr>
              <w:pStyle w:val="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E33D5B" w:rsidRDefault="00E33D5B">
            <w:pPr>
              <w:pStyle w:val="26"/>
              <w:jc w:val="center"/>
              <w:rPr>
                <w:rFonts w:ascii="PT Astra Serif" w:hAnsi="PT Astra Serif"/>
                <w:color w:val="000000"/>
                <w:sz w:val="12"/>
                <w:szCs w:val="12"/>
              </w:rPr>
            </w:pPr>
          </w:p>
          <w:p w:rsidR="00E33D5B" w:rsidRDefault="00163B25" w:rsidP="009553E3">
            <w:pPr>
              <w:pStyle w:val="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от </w:t>
            </w:r>
            <w:r w:rsidR="009553E3">
              <w:rPr>
                <w:rFonts w:ascii="PT Astra Serif" w:hAnsi="PT Astra Serif"/>
                <w:color w:val="000000"/>
                <w:sz w:val="28"/>
                <w:szCs w:val="28"/>
              </w:rPr>
              <w:t>29.04.2025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№ </w:t>
            </w:r>
            <w:r w:rsidR="009553E3">
              <w:rPr>
                <w:rFonts w:ascii="PT Astra Serif" w:hAnsi="PT Astra Serif"/>
                <w:color w:val="000000"/>
                <w:sz w:val="28"/>
                <w:szCs w:val="28"/>
              </w:rPr>
              <w:t>4 – 775</w:t>
            </w:r>
            <w:bookmarkStart w:id="0" w:name="_GoBack"/>
            <w:bookmarkEnd w:id="0"/>
          </w:p>
        </w:tc>
      </w:tr>
    </w:tbl>
    <w:p w:rsidR="00E33D5B" w:rsidRDefault="00E33D5B">
      <w:pPr>
        <w:jc w:val="right"/>
        <w:rPr>
          <w:rFonts w:ascii="PT Astra Serif" w:hAnsi="PT Astra Serif"/>
          <w:color w:val="000000"/>
          <w:sz w:val="16"/>
          <w:szCs w:val="16"/>
        </w:rPr>
      </w:pPr>
    </w:p>
    <w:tbl>
      <w:tblPr>
        <w:tblW w:w="4285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285"/>
      </w:tblGrid>
      <w:tr w:rsidR="00E33D5B">
        <w:trPr>
          <w:trHeight w:val="1846"/>
        </w:trPr>
        <w:tc>
          <w:tcPr>
            <w:tcW w:w="4285" w:type="dxa"/>
          </w:tcPr>
          <w:p w:rsidR="00E33D5B" w:rsidRDefault="00163B25">
            <w:pPr>
              <w:pStyle w:val="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Приложение № 3</w:t>
            </w:r>
          </w:p>
          <w:p w:rsidR="00E33D5B" w:rsidRDefault="00163B25">
            <w:pPr>
              <w:pStyle w:val="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E33D5B" w:rsidRDefault="00163B25">
            <w:pPr>
              <w:pStyle w:val="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E33D5B" w:rsidRDefault="00163B25">
            <w:pPr>
              <w:pStyle w:val="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E33D5B" w:rsidRDefault="00E33D5B">
            <w:pPr>
              <w:pStyle w:val="26"/>
              <w:jc w:val="center"/>
              <w:rPr>
                <w:rFonts w:ascii="PT Astra Serif" w:hAnsi="PT Astra Serif"/>
                <w:color w:val="000000"/>
                <w:sz w:val="12"/>
                <w:szCs w:val="12"/>
              </w:rPr>
            </w:pPr>
          </w:p>
          <w:p w:rsidR="00E33D5B" w:rsidRDefault="00163B25">
            <w:pPr>
              <w:pStyle w:val="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от 13.03.2017 № 3-260</w:t>
            </w:r>
          </w:p>
        </w:tc>
      </w:tr>
    </w:tbl>
    <w:p w:rsidR="00E33D5B" w:rsidRDefault="00E33D5B">
      <w:pPr>
        <w:ind w:firstLine="709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E33D5B" w:rsidRDefault="00E33D5B">
      <w:pPr>
        <w:spacing w:line="57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E33D5B" w:rsidRDefault="00163B25">
      <w:pPr>
        <w:spacing w:line="57" w:lineRule="atLeast"/>
        <w:jc w:val="center"/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 w:themeColor="text1"/>
          <w:sz w:val="28"/>
        </w:rPr>
        <w:t>МЕТОДИКА</w:t>
      </w:r>
    </w:p>
    <w:p w:rsidR="00E33D5B" w:rsidRDefault="00163B25">
      <w:pPr>
        <w:spacing w:line="57" w:lineRule="atLeast"/>
        <w:jc w:val="center"/>
        <w:rPr>
          <w:rFonts w:ascii="PT Astra Serif" w:eastAsia="PT Astra Serif" w:hAnsi="PT Astra Serif" w:cs="PT Astra Serif"/>
          <w:b/>
          <w:color w:val="000000" w:themeColor="text1"/>
          <w:sz w:val="28"/>
        </w:rPr>
      </w:pPr>
      <w:r>
        <w:rPr>
          <w:rFonts w:ascii="PT Astra Serif" w:eastAsia="PT Astra Serif" w:hAnsi="PT Astra Serif" w:cs="PT Astra Serif"/>
          <w:b/>
          <w:color w:val="000000" w:themeColor="text1"/>
          <w:sz w:val="28"/>
        </w:rPr>
        <w:t xml:space="preserve">мониторинга качества управления </w:t>
      </w:r>
    </w:p>
    <w:p w:rsidR="00E33D5B" w:rsidRDefault="00163B25">
      <w:pPr>
        <w:spacing w:line="57" w:lineRule="atLeast"/>
        <w:jc w:val="center"/>
        <w:rPr>
          <w:rFonts w:ascii="PT Astra Serif" w:eastAsia="PT Astra Serif" w:hAnsi="PT Astra Serif" w:cs="PT Astra Serif"/>
          <w:b/>
          <w:color w:val="000000" w:themeColor="text1"/>
          <w:sz w:val="28"/>
        </w:rPr>
      </w:pPr>
      <w:r>
        <w:rPr>
          <w:rFonts w:ascii="PT Astra Serif" w:eastAsia="PT Astra Serif" w:hAnsi="PT Astra Serif" w:cs="PT Astra Serif"/>
          <w:b/>
          <w:color w:val="000000" w:themeColor="text1"/>
          <w:sz w:val="28"/>
        </w:rPr>
        <w:t xml:space="preserve">муниципальными финансами и платежеспособности </w:t>
      </w:r>
    </w:p>
    <w:p w:rsidR="00E33D5B" w:rsidRDefault="00163B25">
      <w:pPr>
        <w:spacing w:line="57" w:lineRule="atLeast"/>
        <w:jc w:val="center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b/>
          <w:color w:val="000000" w:themeColor="text1"/>
          <w:sz w:val="28"/>
        </w:rPr>
        <w:t xml:space="preserve">муниципальных образований (поселений) </w:t>
      </w:r>
      <w:proofErr w:type="spellStart"/>
      <w:r>
        <w:rPr>
          <w:rFonts w:ascii="PT Astra Serif" w:eastAsia="PT Astra Serif" w:hAnsi="PT Astra Serif" w:cs="PT Astra Serif"/>
          <w:b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b/>
          <w:color w:val="000000" w:themeColor="text1"/>
          <w:sz w:val="28"/>
        </w:rPr>
        <w:t xml:space="preserve"> района</w:t>
      </w:r>
    </w:p>
    <w:p w:rsidR="00E33D5B" w:rsidRDefault="00E33D5B">
      <w:pPr>
        <w:spacing w:line="57" w:lineRule="atLeast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jc w:val="center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1. Общие положения</w:t>
      </w:r>
    </w:p>
    <w:p w:rsidR="00E33D5B" w:rsidRDefault="00E33D5B">
      <w:pPr>
        <w:spacing w:line="362" w:lineRule="exact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В основе Методики мониторинга качества управления муниципальными финансами и платежеспособности муниципальных образований (поселений)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 (далее - Мониторинг) лежит система индикаторов, отражающих отдельные факторы управления муниципальными финансами и платежеспособности муниципальных образований (поселений)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 (далее - муниципальные образования).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В качестве исходных данных для проведения оценки используются официальные статистические данные, финансовая отчетность по исполнению бюджетов муниципальных образований (поселений)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района, информация, представляемая органами местного самоуправления (поселений)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 по установленным настоящим постановлением формам и срокам, правовые акты Тульской области и органов местного самоуправления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района.</w:t>
      </w:r>
    </w:p>
    <w:p w:rsidR="00E33D5B" w:rsidRDefault="00E33D5B">
      <w:pPr>
        <w:spacing w:line="362" w:lineRule="exact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jc w:val="center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2. Порядок оценки финансового положения</w:t>
      </w:r>
    </w:p>
    <w:p w:rsidR="00E33D5B" w:rsidRDefault="00163B25">
      <w:pPr>
        <w:spacing w:line="362" w:lineRule="exact"/>
        <w:jc w:val="center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и качества управления муниципальными финансами</w:t>
      </w:r>
    </w:p>
    <w:p w:rsidR="00E33D5B" w:rsidRDefault="00E33D5B">
      <w:pPr>
        <w:spacing w:line="362" w:lineRule="exact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В целях обеспечения проведения Мониторинга комплексная оценка производится по итогам финансового года.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lastRenderedPageBreak/>
        <w:t>Оценка финансового положения и оценка качества управления муниципальными финансами измеряются в баллах. Максимально возможная (наилучшая) величина балльной оценки финансового положения и качества управления муниципальными финансами по итогам года составляет 12,3 балла.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Для каждого индикатора установлены одно или два критических значения. В случае если значение индикатора V находится за пределами критического значения максимального риска неплатежеспособности (наихудшее качество управления финансами), то значение оценки индикатора М равно 0. Соответственно, если значение индикатора находится за пределами критического значения минимального риска неплатежеспособности (оптимальное качество управления финансами), то значение оценки равно 1.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Если значение индикатора лежит в интервале между двумя критическими значениями, то по данному индикатору присваивается оценка в пределах от 0 до 1. Оценка по индикатору рассчитывается по формуле: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Mi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= (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Vi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-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Vmin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>) / (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Vmax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-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Vmin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>), где: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Mi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- оценка по индикатору i;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Vi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- фактическое значение индикатора i;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Vmin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- критическое значение индикатора i, соответствующее высокому риску неплатежеспособности (низкому качеству управления финансами);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Vmax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- критическое значение индикатора i, соответствующее низкому риску неплатежеспособности (высокому качеству управления финансами).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proofErr w:type="gramStart"/>
      <w:r>
        <w:rPr>
          <w:rFonts w:ascii="PT Astra Serif" w:eastAsia="PT Astra Serif" w:hAnsi="PT Astra Serif" w:cs="PT Astra Serif"/>
          <w:color w:val="000000" w:themeColor="text1"/>
          <w:sz w:val="28"/>
        </w:rPr>
        <w:t>В случае если индикатор имеет только одно критическое значение, оценке по данному индикатору присваивается либо наивысшее значение, равное 1 (если фактическое значение индикатора находится в области минимального риска неплатежеспособности, максимального качества управления финансами), либо наихудшее значение, равное 0 (если фактическое значение индикатора находится в области максимального риска неплатежеспособности, наихудшего качества управления финансами).</w:t>
      </w:r>
      <w:proofErr w:type="gramEnd"/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Для индикаторов установлен различный вес относительной значимости. Различия в величинах весов обусловлены разной степенью влияния отражаемых индикаторами факторов на общий уровень финансового положения и качество управления финансами.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Итоговая оценка финансового положения (качества управления финансами) определяется суммой произведений оценок по всем индикаторам и соответствующего им веса относительной значимости индикаторов W по следующей формуле: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  <w:lang w:val="en-US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lang w:val="en-US"/>
        </w:rPr>
        <w:lastRenderedPageBreak/>
        <w:t xml:space="preserve">P = </w:t>
      </w:r>
      <w:proofErr w:type="gramStart"/>
      <w:r>
        <w:rPr>
          <w:rFonts w:ascii="PT Astra Serif" w:eastAsia="PT Astra Serif" w:hAnsi="PT Astra Serif" w:cs="PT Astra Serif"/>
          <w:color w:val="000000" w:themeColor="text1"/>
          <w:sz w:val="28"/>
          <w:lang w:val="en-US"/>
        </w:rPr>
        <w:t>SUM(</w:t>
      </w:r>
      <w:proofErr w:type="spellStart"/>
      <w:proofErr w:type="gramEnd"/>
      <w:r>
        <w:rPr>
          <w:rFonts w:ascii="PT Astra Serif" w:eastAsia="PT Astra Serif" w:hAnsi="PT Astra Serif" w:cs="PT Astra Serif"/>
          <w:color w:val="000000" w:themeColor="text1"/>
          <w:sz w:val="28"/>
          <w:lang w:val="en-US"/>
        </w:rPr>
        <w:t>Mi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  <w:lang w:val="en-US"/>
        </w:rPr>
        <w:t xml:space="preserve"> x Wi), 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где</w:t>
      </w:r>
      <w:r>
        <w:rPr>
          <w:rFonts w:ascii="PT Astra Serif" w:eastAsia="PT Astra Serif" w:hAnsi="PT Astra Serif" w:cs="PT Astra Serif"/>
          <w:color w:val="000000" w:themeColor="text1"/>
          <w:sz w:val="28"/>
          <w:lang w:val="en-US"/>
        </w:rPr>
        <w:t>: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  <w:lang w:val="en-US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P - комплексная оценка финансового положения (качества управления финансами) муниципального образования;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Mi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- оценка по индикатору i;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Wi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- удельный вес индикатора i.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По показателям P1, P2 оценка по индикатору определяется в соответствии с установленными соответственно в </w:t>
      </w:r>
      <w:hyperlink r:id="rId15" w:anchor="P486" w:tgtFrame="file:///opt/r7-office/desktopeditors/editors/web-apps/apps/documenteditor/main/index.html?_dc=0&amp;lang=ru-RU&amp;frameEditorId=placeholder&amp;parentOrigin=file://#P486">
        <w:r>
          <w:rPr>
            <w:rStyle w:val="af6"/>
            <w:rFonts w:ascii="PT Astra Serif" w:eastAsia="PT Astra Serif" w:hAnsi="PT Astra Serif" w:cs="PT Astra Serif"/>
            <w:color w:val="000000" w:themeColor="text1"/>
            <w:sz w:val="28"/>
            <w:u w:val="none"/>
          </w:rPr>
          <w:t>пунктах 4.1</w:t>
        </w:r>
      </w:hyperlink>
      <w:r>
        <w:rPr>
          <w:rFonts w:ascii="PT Astra Serif" w:eastAsia="PT Astra Serif" w:hAnsi="PT Astra Serif" w:cs="PT Astra Serif"/>
          <w:color w:val="000000" w:themeColor="text1"/>
          <w:sz w:val="28"/>
        </w:rPr>
        <w:t>,</w:t>
      </w:r>
      <w:hyperlink r:id="rId16" w:anchor="P510" w:tgtFrame="file:///opt/r7-office/desktopeditors/editors/web-apps/apps/documenteditor/main/index.html?_dc=0&amp;lang=ru-RU&amp;frameEditorId=placeholder&amp;parentOrigin=file://#P510">
        <w:r>
          <w:rPr>
            <w:rStyle w:val="af6"/>
            <w:rFonts w:ascii="PT Astra Serif" w:eastAsia="PT Astra Serif" w:hAnsi="PT Astra Serif" w:cs="PT Astra Serif"/>
            <w:color w:val="000000" w:themeColor="text1"/>
            <w:sz w:val="28"/>
            <w:u w:val="none"/>
          </w:rPr>
          <w:t>4.2</w:t>
        </w:r>
      </w:hyperlink>
      <w:r>
        <w:rPr>
          <w:rFonts w:ascii="PT Astra Serif" w:eastAsia="PT Astra Serif" w:hAnsi="PT Astra Serif" w:cs="PT Astra Serif"/>
          <w:color w:val="000000" w:themeColor="text1"/>
          <w:sz w:val="28"/>
        </w:rPr>
        <w:t>значениями.</w:t>
      </w:r>
    </w:p>
    <w:p w:rsidR="00E33D5B" w:rsidRDefault="00E33D5B">
      <w:pPr>
        <w:spacing w:line="362" w:lineRule="exact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jc w:val="center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3. Оценка финансового положения и качества</w:t>
      </w:r>
    </w:p>
    <w:p w:rsidR="00E33D5B" w:rsidRDefault="00163B25">
      <w:pPr>
        <w:spacing w:line="362" w:lineRule="exact"/>
        <w:jc w:val="center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управления муниципальными финансами</w:t>
      </w:r>
    </w:p>
    <w:p w:rsidR="00E33D5B" w:rsidRDefault="00E33D5B">
      <w:pPr>
        <w:spacing w:line="362" w:lineRule="exact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proofErr w:type="gramStart"/>
      <w:r>
        <w:rPr>
          <w:rFonts w:ascii="PT Astra Serif" w:eastAsia="PT Astra Serif" w:hAnsi="PT Astra Serif" w:cs="PT Astra Serif"/>
          <w:color w:val="000000" w:themeColor="text1"/>
          <w:sz w:val="28"/>
        </w:rPr>
        <w:t>Индикаторы оценки финансового положения и качества управления муниципальными финансами отражают ключевые факторы платежеспособности, определяющие текущее финансовое состояние и потенциальные финансовые возможности, устойчивость по отношению к воздействию негативных внешних факторов, уровень методологического и нормативно-правового обеспечения бюджетного процесса, результаты внедрения передовых практик управления финансами, доступность и объективность информации о финансово-экономическом состоянии муниципального образования.</w:t>
      </w:r>
      <w:proofErr w:type="gramEnd"/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Индикаторы сгруппированы по направлениям, отражающим отдельные элементы финансового положения и качества управления муниципальными финансами.</w:t>
      </w:r>
    </w:p>
    <w:p w:rsidR="00E33D5B" w:rsidRDefault="00E33D5B">
      <w:pPr>
        <w:spacing w:line="362" w:lineRule="exact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jc w:val="center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4. Значения и формулы расчета индикаторов оценки</w:t>
      </w:r>
    </w:p>
    <w:p w:rsidR="00E33D5B" w:rsidRDefault="00163B25">
      <w:pPr>
        <w:spacing w:line="362" w:lineRule="exact"/>
        <w:jc w:val="center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финансового положения и качества управления</w:t>
      </w:r>
    </w:p>
    <w:p w:rsidR="00E33D5B" w:rsidRDefault="00163B25">
      <w:pPr>
        <w:spacing w:line="362" w:lineRule="exact"/>
        <w:jc w:val="center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муниципальными финансами</w:t>
      </w:r>
    </w:p>
    <w:p w:rsidR="00E33D5B" w:rsidRDefault="00E33D5B">
      <w:pPr>
        <w:spacing w:line="362" w:lineRule="exact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Для проведения комплексной оценки по итогам финансового года применяются индикаторы P.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4.1. Индикатор P1: динамика поступления налоговых доходов в бюджет муниципального образования (поселения)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 в отчетном финансовом году по отношению к предшествующему отчетному финансовому году.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Формула расчета индикатора: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V = A / B x 100 процентов, где: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lastRenderedPageBreak/>
        <w:t xml:space="preserve">A - объем поступлений налоговых доходов в бюджет муниципального образования (поселения)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 в отчетном финансовом году;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B - объем поступлений налоговых доходов в бюджет муниципального образования (поселения)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 в году, предшествующем отчетному финансовому году;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V - отношение фактически поступивших налоговых доходов в отчетном финансовом году к объему поступлений налоговых доходов в году, предшествующем отчетному финансовому году.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Значения показателей: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от 100 процентов до 103 процентов - 0,400;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свыше 103 процентов до 107 процентов - 0,600;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свыше 107 процентов - 0,800;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4.2. Индикатор P2: динамика изменения размера дефицита бюджета муниципального образования (поселения)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Индикатор отражает динамику изменения процента дефицита бюджета муниципального образования (поселения)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 по итогам исполнения за отчетный период в сравнении с аналогичным отчетным периодом прошлого года.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Формула расчета значения индикатора: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V = A - B, где: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B - процент дефицита, сложившийся по итогам исполнения бюджета за отчетный период, определяемый по формуле: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В = (Д</w:t>
      </w:r>
      <w:r>
        <w:rPr>
          <w:rFonts w:ascii="PT Astra Serif" w:eastAsia="PT Astra Serif" w:hAnsi="PT Astra Serif" w:cs="PT Astra Serif"/>
          <w:color w:val="000000" w:themeColor="text1"/>
          <w:sz w:val="28"/>
          <w:vertAlign w:val="subscript"/>
        </w:rPr>
        <w:t>отч.1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- Р</w:t>
      </w:r>
      <w:r>
        <w:rPr>
          <w:rFonts w:ascii="PT Astra Serif" w:eastAsia="PT Astra Serif" w:hAnsi="PT Astra Serif" w:cs="PT Astra Serif"/>
          <w:color w:val="000000" w:themeColor="text1"/>
          <w:sz w:val="28"/>
          <w:vertAlign w:val="subscript"/>
        </w:rPr>
        <w:t>отч.1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+ И</w:t>
      </w:r>
      <w:r>
        <w:rPr>
          <w:rFonts w:ascii="PT Astra Serif" w:eastAsia="PT Astra Serif" w:hAnsi="PT Astra Serif" w:cs="PT Astra Serif"/>
          <w:color w:val="000000" w:themeColor="text1"/>
          <w:sz w:val="28"/>
          <w:vertAlign w:val="subscript"/>
        </w:rPr>
        <w:t>ост.1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+ Б</w:t>
      </w:r>
      <w:r>
        <w:rPr>
          <w:rFonts w:ascii="PT Astra Serif" w:eastAsia="PT Astra Serif" w:hAnsi="PT Astra Serif" w:cs="PT Astra Serif"/>
          <w:color w:val="000000" w:themeColor="text1"/>
          <w:sz w:val="28"/>
          <w:vertAlign w:val="subscript"/>
        </w:rPr>
        <w:t>кр.1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+ А</w:t>
      </w:r>
      <w:r>
        <w:rPr>
          <w:rFonts w:ascii="PT Astra Serif" w:eastAsia="PT Astra Serif" w:hAnsi="PT Astra Serif" w:cs="PT Astra Serif"/>
          <w:color w:val="000000" w:themeColor="text1"/>
          <w:sz w:val="28"/>
          <w:vertAlign w:val="subscript"/>
        </w:rPr>
        <w:t>к</w:t>
      </w:r>
      <w:proofErr w:type="gramStart"/>
      <w:r>
        <w:rPr>
          <w:rFonts w:ascii="PT Astra Serif" w:eastAsia="PT Astra Serif" w:hAnsi="PT Astra Serif" w:cs="PT Astra Serif"/>
          <w:color w:val="000000" w:themeColor="text1"/>
          <w:sz w:val="28"/>
          <w:vertAlign w:val="subscript"/>
        </w:rPr>
        <w:t>1</w:t>
      </w:r>
      <w:proofErr w:type="gramEnd"/>
      <w:r>
        <w:rPr>
          <w:rFonts w:ascii="PT Astra Serif" w:eastAsia="PT Astra Serif" w:hAnsi="PT Astra Serif" w:cs="PT Astra Serif"/>
          <w:color w:val="000000" w:themeColor="text1"/>
          <w:sz w:val="28"/>
        </w:rPr>
        <w:t>) / Д</w:t>
      </w:r>
      <w:r>
        <w:rPr>
          <w:rFonts w:ascii="PT Astra Serif" w:eastAsia="PT Astra Serif" w:hAnsi="PT Astra Serif" w:cs="PT Astra Serif"/>
          <w:color w:val="000000" w:themeColor="text1"/>
          <w:sz w:val="28"/>
          <w:vertAlign w:val="subscript"/>
        </w:rPr>
        <w:t>1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, где: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Д</w:t>
      </w:r>
      <w:r>
        <w:rPr>
          <w:rFonts w:ascii="PT Astra Serif" w:eastAsia="PT Astra Serif" w:hAnsi="PT Astra Serif" w:cs="PT Astra Serif"/>
          <w:color w:val="000000" w:themeColor="text1"/>
          <w:sz w:val="28"/>
          <w:vertAlign w:val="subscript"/>
        </w:rPr>
        <w:t>отч.1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- доходы бюджета за отчетный период;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Р</w:t>
      </w:r>
      <w:r>
        <w:rPr>
          <w:rFonts w:ascii="PT Astra Serif" w:eastAsia="PT Astra Serif" w:hAnsi="PT Astra Serif" w:cs="PT Astra Serif"/>
          <w:color w:val="000000" w:themeColor="text1"/>
          <w:sz w:val="28"/>
          <w:vertAlign w:val="subscript"/>
        </w:rPr>
        <w:t>отч.1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- расходы бюджета за отчетный период;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И</w:t>
      </w:r>
      <w:r>
        <w:rPr>
          <w:rFonts w:ascii="PT Astra Serif" w:eastAsia="PT Astra Serif" w:hAnsi="PT Astra Serif" w:cs="PT Astra Serif"/>
          <w:color w:val="000000" w:themeColor="text1"/>
          <w:sz w:val="28"/>
          <w:vertAlign w:val="subscript"/>
        </w:rPr>
        <w:t>ост.1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- изменение остатков средств за отчетный период;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Б</w:t>
      </w:r>
      <w:r>
        <w:rPr>
          <w:rFonts w:ascii="PT Astra Serif" w:eastAsia="PT Astra Serif" w:hAnsi="PT Astra Serif" w:cs="PT Astra Serif"/>
          <w:color w:val="000000" w:themeColor="text1"/>
          <w:sz w:val="28"/>
          <w:vertAlign w:val="subscript"/>
        </w:rPr>
        <w:t>кр.1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- бюджетные кредиты от других бюджетов бюджетной системы Российской Федерации за отчетный период;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А</w:t>
      </w:r>
      <w:r>
        <w:rPr>
          <w:rFonts w:ascii="PT Astra Serif" w:eastAsia="PT Astra Serif" w:hAnsi="PT Astra Serif" w:cs="PT Astra Serif"/>
          <w:color w:val="000000" w:themeColor="text1"/>
          <w:sz w:val="28"/>
          <w:vertAlign w:val="subscript"/>
        </w:rPr>
        <w:t>к</w:t>
      </w:r>
      <w:proofErr w:type="gramStart"/>
      <w:r>
        <w:rPr>
          <w:rFonts w:ascii="PT Astra Serif" w:eastAsia="PT Astra Serif" w:hAnsi="PT Astra Serif" w:cs="PT Astra Serif"/>
          <w:color w:val="000000" w:themeColor="text1"/>
          <w:sz w:val="28"/>
          <w:vertAlign w:val="subscript"/>
        </w:rPr>
        <w:t>1</w:t>
      </w:r>
      <w:proofErr w:type="gramEnd"/>
      <w:r>
        <w:rPr>
          <w:rFonts w:ascii="PT Astra Serif" w:eastAsia="PT Astra Serif" w:hAnsi="PT Astra Serif" w:cs="PT Astra Serif"/>
          <w:color w:val="000000" w:themeColor="text1"/>
          <w:sz w:val="28"/>
        </w:rPr>
        <w:t>- средства от продажи акций и иных форм участия в капитале, находящихся в муниципальной собственности, за отчетный период;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Д</w:t>
      </w:r>
      <w:proofErr w:type="gramStart"/>
      <w:r>
        <w:rPr>
          <w:rFonts w:ascii="PT Astra Serif" w:eastAsia="PT Astra Serif" w:hAnsi="PT Astra Serif" w:cs="PT Astra Serif"/>
          <w:color w:val="000000" w:themeColor="text1"/>
          <w:sz w:val="28"/>
          <w:vertAlign w:val="subscript"/>
        </w:rPr>
        <w:t>1</w:t>
      </w:r>
      <w:proofErr w:type="gramEnd"/>
      <w:r>
        <w:rPr>
          <w:rFonts w:ascii="PT Astra Serif" w:eastAsia="PT Astra Serif" w:hAnsi="PT Astra Serif" w:cs="PT Astra Serif"/>
          <w:color w:val="000000" w:themeColor="text1"/>
          <w:sz w:val="28"/>
        </w:rPr>
        <w:t>- доходы бюджета за отчетный период без учета безвозмездных поступлений и (или) поступлений налоговых доходов по дополнительным нормативам отчислений;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lastRenderedPageBreak/>
        <w:t>А - процент дефицита, сложившийся по итогам исполнения за аналогичный отчетный период года, предшествующего отчетному финансовому году, определяемый по формуле: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А = (Д</w:t>
      </w:r>
      <w:r>
        <w:rPr>
          <w:rFonts w:ascii="PT Astra Serif" w:eastAsia="PT Astra Serif" w:hAnsi="PT Astra Serif" w:cs="PT Astra Serif"/>
          <w:color w:val="000000" w:themeColor="text1"/>
          <w:sz w:val="28"/>
          <w:vertAlign w:val="subscript"/>
        </w:rPr>
        <w:t>отч.2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- Р</w:t>
      </w:r>
      <w:r>
        <w:rPr>
          <w:rFonts w:ascii="PT Astra Serif" w:eastAsia="PT Astra Serif" w:hAnsi="PT Astra Serif" w:cs="PT Astra Serif"/>
          <w:color w:val="000000" w:themeColor="text1"/>
          <w:sz w:val="28"/>
          <w:vertAlign w:val="subscript"/>
        </w:rPr>
        <w:t>отч.2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+ И</w:t>
      </w:r>
      <w:r>
        <w:rPr>
          <w:rFonts w:ascii="PT Astra Serif" w:eastAsia="PT Astra Serif" w:hAnsi="PT Astra Serif" w:cs="PT Astra Serif"/>
          <w:color w:val="000000" w:themeColor="text1"/>
          <w:sz w:val="28"/>
          <w:vertAlign w:val="subscript"/>
        </w:rPr>
        <w:t>ост.2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+ Б</w:t>
      </w:r>
      <w:r>
        <w:rPr>
          <w:rFonts w:ascii="PT Astra Serif" w:eastAsia="PT Astra Serif" w:hAnsi="PT Astra Serif" w:cs="PT Astra Serif"/>
          <w:color w:val="000000" w:themeColor="text1"/>
          <w:sz w:val="28"/>
          <w:vertAlign w:val="subscript"/>
        </w:rPr>
        <w:t>кр.2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+ А</w:t>
      </w:r>
      <w:r>
        <w:rPr>
          <w:rFonts w:ascii="PT Astra Serif" w:eastAsia="PT Astra Serif" w:hAnsi="PT Astra Serif" w:cs="PT Astra Serif"/>
          <w:color w:val="000000" w:themeColor="text1"/>
          <w:sz w:val="28"/>
          <w:vertAlign w:val="subscript"/>
        </w:rPr>
        <w:t>к</w:t>
      </w:r>
      <w:proofErr w:type="gramStart"/>
      <w:r>
        <w:rPr>
          <w:rFonts w:ascii="PT Astra Serif" w:eastAsia="PT Astra Serif" w:hAnsi="PT Astra Serif" w:cs="PT Astra Serif"/>
          <w:color w:val="000000" w:themeColor="text1"/>
          <w:sz w:val="28"/>
          <w:vertAlign w:val="subscript"/>
        </w:rPr>
        <w:t>2</w:t>
      </w:r>
      <w:proofErr w:type="gramEnd"/>
      <w:r>
        <w:rPr>
          <w:rFonts w:ascii="PT Astra Serif" w:eastAsia="PT Astra Serif" w:hAnsi="PT Astra Serif" w:cs="PT Astra Serif"/>
          <w:color w:val="000000" w:themeColor="text1"/>
          <w:sz w:val="28"/>
        </w:rPr>
        <w:t>) / Д</w:t>
      </w:r>
      <w:r>
        <w:rPr>
          <w:rFonts w:ascii="PT Astra Serif" w:eastAsia="PT Astra Serif" w:hAnsi="PT Astra Serif" w:cs="PT Astra Serif"/>
          <w:color w:val="000000" w:themeColor="text1"/>
          <w:sz w:val="28"/>
          <w:vertAlign w:val="subscript"/>
        </w:rPr>
        <w:t>2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, где: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Д</w:t>
      </w:r>
      <w:r>
        <w:rPr>
          <w:rFonts w:ascii="PT Astra Serif" w:eastAsia="PT Astra Serif" w:hAnsi="PT Astra Serif" w:cs="PT Astra Serif"/>
          <w:color w:val="000000" w:themeColor="text1"/>
          <w:sz w:val="28"/>
          <w:vertAlign w:val="subscript"/>
        </w:rPr>
        <w:t>отч.2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- доходы бюджета за аналогичный период года, предшествующего отчетному финансовому году;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Р</w:t>
      </w:r>
      <w:r>
        <w:rPr>
          <w:rFonts w:ascii="PT Astra Serif" w:eastAsia="PT Astra Serif" w:hAnsi="PT Astra Serif" w:cs="PT Astra Serif"/>
          <w:color w:val="000000" w:themeColor="text1"/>
          <w:sz w:val="28"/>
          <w:vertAlign w:val="subscript"/>
        </w:rPr>
        <w:t>отч.2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- расходы бюджета за аналогичный период года, предшествующего отчетному финансовому году;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И</w:t>
      </w:r>
      <w:r>
        <w:rPr>
          <w:rFonts w:ascii="PT Astra Serif" w:eastAsia="PT Astra Serif" w:hAnsi="PT Astra Serif" w:cs="PT Astra Serif"/>
          <w:color w:val="000000" w:themeColor="text1"/>
          <w:sz w:val="28"/>
          <w:vertAlign w:val="subscript"/>
        </w:rPr>
        <w:t>ост.2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- изменение остатков средств за аналогичный период года, предшествующего отчетному финансовому году;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Б</w:t>
      </w:r>
      <w:r>
        <w:rPr>
          <w:rFonts w:ascii="PT Astra Serif" w:eastAsia="PT Astra Serif" w:hAnsi="PT Astra Serif" w:cs="PT Astra Serif"/>
          <w:color w:val="000000" w:themeColor="text1"/>
          <w:sz w:val="28"/>
          <w:vertAlign w:val="subscript"/>
        </w:rPr>
        <w:t>кр.2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- бюджетные кредиты от других бюджетов бюджетной системы Российской Федерации за аналогичный период года, предшествующего отчетному финансовому году;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А</w:t>
      </w:r>
      <w:r>
        <w:rPr>
          <w:rFonts w:ascii="PT Astra Serif" w:eastAsia="PT Astra Serif" w:hAnsi="PT Astra Serif" w:cs="PT Astra Serif"/>
          <w:color w:val="000000" w:themeColor="text1"/>
          <w:sz w:val="28"/>
          <w:vertAlign w:val="subscript"/>
        </w:rPr>
        <w:t>к</w:t>
      </w:r>
      <w:proofErr w:type="gramStart"/>
      <w:r>
        <w:rPr>
          <w:rFonts w:ascii="PT Astra Serif" w:eastAsia="PT Astra Serif" w:hAnsi="PT Astra Serif" w:cs="PT Astra Serif"/>
          <w:color w:val="000000" w:themeColor="text1"/>
          <w:sz w:val="28"/>
          <w:vertAlign w:val="subscript"/>
        </w:rPr>
        <w:t>2</w:t>
      </w:r>
      <w:proofErr w:type="gramEnd"/>
      <w:r>
        <w:rPr>
          <w:rFonts w:ascii="PT Astra Serif" w:eastAsia="PT Astra Serif" w:hAnsi="PT Astra Serif" w:cs="PT Astra Serif"/>
          <w:color w:val="000000" w:themeColor="text1"/>
          <w:sz w:val="28"/>
        </w:rPr>
        <w:t>- средства от продажи акций и иных форм участия в капитале, находящихся в муниципальной собственности, за аналогичный период года, предшествующего отчетному финансовому году;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Д</w:t>
      </w:r>
      <w:proofErr w:type="gramStart"/>
      <w:r>
        <w:rPr>
          <w:rFonts w:ascii="PT Astra Serif" w:eastAsia="PT Astra Serif" w:hAnsi="PT Astra Serif" w:cs="PT Astra Serif"/>
          <w:color w:val="000000" w:themeColor="text1"/>
          <w:sz w:val="28"/>
          <w:vertAlign w:val="subscript"/>
        </w:rPr>
        <w:t>2</w:t>
      </w:r>
      <w:proofErr w:type="gramEnd"/>
      <w:r>
        <w:rPr>
          <w:rFonts w:ascii="PT Astra Serif" w:eastAsia="PT Astra Serif" w:hAnsi="PT Astra Serif" w:cs="PT Astra Serif"/>
          <w:color w:val="000000" w:themeColor="text1"/>
          <w:sz w:val="28"/>
        </w:rPr>
        <w:t>- доходы бюджета за аналогичный период года, предшествующего отчетному финансовому году, без учета безвозмездных поступлений и (или) поступлений налоговых доходов по дополнительным нормативам отчислений.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Минимальный риск неплатежеспособности (наилучший уровень управления бюджетом) - 5 процентов.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Максимальный риск неплатежеспособности (минимальный уровень управления бюджетом) - 0 процентов.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Значения</w:t>
      </w:r>
      <w:proofErr w:type="gramStart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А</w:t>
      </w:r>
      <w:proofErr w:type="gram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и В для расчета показателя берутся с положительным знаком.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В случае профицита бюджета по итогам исполнения бюджета за отчетный период показателю присваивается максимальное значение.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4.3. Индикатор P3: соблюдение нормативов по формированию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Индикатор отражает соблюдение установленных правительством Тульской области нормативов по формированию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lastRenderedPageBreak/>
        <w:t>В случае несоблюдения органами местного самоуправления указанных нормативов индикатору присваивается минимальное значение. При соблюдении органами местного самоуправления указанных нормативов индикатору присваивается максимальное значение.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4.4. Индикатор P4: зависимость бюджета от финансовой помощи.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Индикатор характеризует зависимость доходов муниципального образования (поселения)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 от перечислений из бюджетов других уровней.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Формула расчета значения индикатора: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V = A / B x 100 процентов, где: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A - доходы бюджета муниципального образования (поселения)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 от безвозмездных перечислений от бюджетов других уровней, за исключением субвенций, иных межбюджетных трансфертов, субсидий за счет средств государственной корпорации - Фонда содействия реформированию жилищно-коммунального хозяйства и субсидий на решение вопросов местного значения межмуниципального характера;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B - всего доходов бюджета муниципального образования (поселения)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района, за исключением субвенций, иных межбюджетных трансфертов, субсидий за счет средств государственной корпорации - Фонда содействия реформированию жилищно-коммунального хозяйства и субсидий на решение вопросов местного значения межмуниципального характера, предоставляемых из бюджетов бюджетной системы Российской Федерации.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Минимальный риск неплатежеспособности (наилучший уровень управления бюджетом) - 5 процентов.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Максимальный риск неплатежеспособности (минимальный уровень управления бюджетом) - 40 процентов.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Чем ниже значение данного индикатора, тем выше риск, связанный с возможным выпадением доходов, что может негативно сказаться на исполнении расходных обязательств, в том числе на обслуживании долговых обязательств.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4.5. Индикатор P5: объем просроченной кредиторской задолженности муниципальных казенных учреждений.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Индикатор отражает уровень выполнения бюджетных обязательств муниципальным образованием (поселением)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Формула расчета значения индикатора: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V = A / B x 100 процентов, где: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lastRenderedPageBreak/>
        <w:t xml:space="preserve">A - просроченная кредиторская задолженность муниципальных казенных учреждений муниципального образования (поселения)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 на конец отчетного периода (за исключением кредиторской задолженности, образовавшейся в связи с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неперечислением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субсидий и субвенций, иных межбюджетных трансфертов из бюджета области, иных межбюджетных трансфертов и субсидий на решение вопросов местного значения межмуниципального характера из бюджетов поселений);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B - объем расходов бюджета муниципального образования (поселения)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района, за исключением субсидий и субвенций, иных межбюджетных трансфертов из бюджета области, иных межбюджетных трансфертов и субсидий на решение вопросов местного значения межмуниципального характера из бюджетов поселений.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Минимальный риск неплатежеспособности (наилучший уровень управления бюджетом) - 0 процентов.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Максимальный риск неплатежеспособности (минимальный уровень управления бюджетом) - 3 процента.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Возникновение просроченной кредиторской задолженности бюджета свидетельствует о низком качестве управления финансами в муниципальных казенных учреждениях муниципального образования (поселения)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 или о несвоевременном финансировании муниципальным образованием собственных муниципальных казенных учреждений. Распределение финансовых ресурсов муниципального образования (поселения)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 в ходе бюджетного процесса призвано обеспечить максимальную эффективность расходов бюджета для населения муниципального образования. Достигаемая в ходе бюджетного процесса эффективность распределения расходов искажается при росте просроченной кредиторской задолженности из-за несоответствия фактического объема расходов объему расходов, утвержденному решением о бюджете муниципального образования (поселения)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4.6. Индикатор P6: объем просроченной кредиторской задолженности муниципальных казенных учреждений по оплате труда с начислениями на оплату труда.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Индикатор отражает уровень выполнения муниципальным образованием (поселением)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 обязательств по оплате труда с начислениями на оплату труда.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При наличии просроченной кредиторской задолженности муниципальных казенных учреждений по оплате труда с начислениями на оплату труда индикатору присваивается минимальное значение. При отсутствии просроченной кредиторской задолженности муниципальных 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lastRenderedPageBreak/>
        <w:t>казенных учреждений по оплате труда с начислениями на оплату труда индикатору присваивается максимальное значение.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4.7. Индикатор P7: снижение и ликвидация просроченной кредиторской задолженности местного бюджета и муниципальных учреждений.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Расчет значения данного индикатора осуществляется в зависимости от удельного веса уровня управления муниципальными финансами, входящего в данный индикатор, к удельному весу индикатора.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Достижение по данному индикатору конкретного уровня управления муниципальными финансами подразумевает выполнение всех предшествующих ему уровней управления муниципальными финансами, входящих в этот индикатор.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Индикатор предусматривает следующие уровни управления муниципальными финансами: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1. Проведение инвентаризации просроченной кредиторской задолженности местного бюджета, в том числе муниципальных учреждений. Анализ факторов и причин возникновения кредиторской задолженности местного бюджета, в том числе муниципальных учреждений за отчетный год (аналитическая записка), - 5 процентов.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2. Разработка и утверждение плана мер по реструктуризации просроченной кредиторской задолженности местного бюджета, в том числе муниципальных учреждений (муниципальный правовой акт), - 15 процентов.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3. Разработка и утверждение процедуры мониторинга просроченной кредиторской задолженности местного бюджета, в том числе муниципальных учреждений, а также оперативной отчетност</w:t>
      </w:r>
      <w:proofErr w:type="gramStart"/>
      <w:r>
        <w:rPr>
          <w:rFonts w:ascii="PT Astra Serif" w:eastAsia="PT Astra Serif" w:hAnsi="PT Astra Serif" w:cs="PT Astra Serif"/>
          <w:color w:val="000000" w:themeColor="text1"/>
          <w:sz w:val="28"/>
        </w:rPr>
        <w:t>и о ее</w:t>
      </w:r>
      <w:proofErr w:type="gram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состоянии и основных кредиторах (муниципальный правовой акт) - 40 процентов.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4. Публикация в информационно-телекоммуникационной сети «Интернет» информации о состоянии просроченной кредиторской задолженности местного бюджета и муниципальных учреждений, в том числе просроченной кредиторской задолженности местного бюджета и муниципальных учреждений (отчет о публикации), - 65 процентов.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5. </w:t>
      </w:r>
      <w:proofErr w:type="gramStart"/>
      <w:r>
        <w:rPr>
          <w:rFonts w:ascii="PT Astra Serif" w:eastAsia="PT Astra Serif" w:hAnsi="PT Astra Serif" w:cs="PT Astra Serif"/>
          <w:color w:val="000000" w:themeColor="text1"/>
          <w:sz w:val="28"/>
        </w:rPr>
        <w:t>Достижение уровня управления муниципальными финансами, при котором просроченная кредиторская задолженность местного бюджета и муниципальных учреждений отсутствует, а прирост кредиторской задолженности местного бюджета и муниципальных учреждений ни в одном месяце отчетного финансового года и (или) в отчетном периоде текущего финансового года не превышает 1/12 годовых расходов местного бюджета (без учета субвенций из бюджета Тульской области и расходов на обслуживание муниципального</w:t>
      </w:r>
      <w:proofErr w:type="gram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долга) (аналитическая записка), - 100 процентов.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lastRenderedPageBreak/>
        <w:t>4.8. Индикатор P8: динамика объема муниципального долга.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Индикатор характеризует динамику изменения объема муниципального долга на конец отчетного периода в сравнении с объемом муниципального долга на конец предшествующего финансового года.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Формула расчета значения индикатора: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V = A / B x 100 процентов, где: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A - объем муниципального долга на конец отчетного периода;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B - объем муниципального долга на конец предшествующего финансового года.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Минимальный риск неплатежеспособности (наилучший уровень управления бюджетом) - 0,0 процента.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Максимальный риск неплатежеспособности (минимальный уровень управления бюджетом) - 100,0 процента.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4.9. Индикатор P9: соблюдение ограничения дефицита бюджета, установленного Бюджетным </w:t>
      </w:r>
      <w:hyperlink r:id="rId17" w:tgtFrame="consultantplus://offline/ref=A9F9A8487FD04B7F3B562109D202477A6E47E7E71F5553261176DAB310q7y6G">
        <w:r>
          <w:rPr>
            <w:rStyle w:val="af6"/>
            <w:rFonts w:ascii="PT Astra Serif" w:eastAsia="PT Astra Serif" w:hAnsi="PT Astra Serif" w:cs="PT Astra Serif"/>
            <w:color w:val="000000" w:themeColor="text1"/>
            <w:sz w:val="28"/>
            <w:u w:val="none"/>
          </w:rPr>
          <w:t xml:space="preserve">кодексом </w:t>
        </w:r>
      </w:hyperlink>
      <w:r>
        <w:rPr>
          <w:rFonts w:ascii="PT Astra Serif" w:eastAsia="PT Astra Serif" w:hAnsi="PT Astra Serif" w:cs="PT Astra Serif"/>
          <w:color w:val="000000" w:themeColor="text1"/>
          <w:sz w:val="28"/>
        </w:rPr>
        <w:t>Российской Федерации.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Индикатор отражает ограничения дефицита бюджета, установленного Бюджетным </w:t>
      </w:r>
      <w:hyperlink r:id="rId18" w:tgtFrame="consultantplus://offline/ref=A9F9A8487FD04B7F3B562109D202477A6E47E7E71F5553261176DAB310q7y6G">
        <w:r>
          <w:rPr>
            <w:rStyle w:val="af6"/>
            <w:rFonts w:ascii="PT Astra Serif" w:eastAsia="PT Astra Serif" w:hAnsi="PT Astra Serif" w:cs="PT Astra Serif"/>
            <w:color w:val="000000" w:themeColor="text1"/>
            <w:sz w:val="28"/>
            <w:u w:val="none"/>
          </w:rPr>
          <w:t>кодексом</w:t>
        </w:r>
      </w:hyperlink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Российской Федерации.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Формула расчета значения индикатора: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V = A/B x 100 процентов, где: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A - дефицит бюджета муниципального образования;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B - всего доходов бюджета муниципального образования (поселения)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 без учета безвозмездных перечислений из бюджетов других уровней и (или) поступлений налоговых доходов по дополнительным нормативам отчислений.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Минимальный риск неплатежеспособности (наилучший уровень управления бюджетом) - (-10,0 процентов).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Дефицит бюджета муниципального образования (поселения)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 не должен превышать 10 процентов утвержденного общего годового объема доходов муниципального образования (поселения)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Для муниципального образования (поселения)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района, в отношении которого осуществляются меры, предусмотренные</w:t>
      </w:r>
      <w:hyperlink r:id="rId19" w:tgtFrame="consultantplus://offline/ref=A9F9A8487FD04B7F3B562109D202477A6E47E7E71F5553261176DAB31076C65902D1640F7C1CqCy7G">
        <w:r>
          <w:rPr>
            <w:rStyle w:val="af6"/>
            <w:rFonts w:ascii="PT Astra Serif" w:eastAsia="PT Astra Serif" w:hAnsi="PT Astra Serif" w:cs="PT Astra Serif"/>
            <w:color w:val="000000" w:themeColor="text1"/>
            <w:sz w:val="28"/>
            <w:u w:val="none"/>
          </w:rPr>
          <w:t xml:space="preserve"> частью 4 </w:t>
        </w:r>
        <w:r>
          <w:rPr>
            <w:rStyle w:val="af6"/>
            <w:rFonts w:ascii="PT Astra Serif" w:eastAsia="PT Astra Serif" w:hAnsi="PT Astra Serif" w:cs="PT Astra Serif"/>
            <w:color w:val="000000" w:themeColor="text1"/>
            <w:sz w:val="28"/>
            <w:u w:val="none"/>
          </w:rPr>
          <w:lastRenderedPageBreak/>
          <w:t>статьи 136</w:t>
        </w:r>
      </w:hyperlink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Бюджетного кодекса Российской Федерации,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proofErr w:type="gramStart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В случае утверждения муниципальным правовым актом представительного органа муниципального образования (поселения)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 (поселения)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района, и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</w:t>
      </w:r>
      <w:proofErr w:type="gramEnd"/>
      <w:r>
        <w:rPr>
          <w:rFonts w:ascii="PT Astra Serif" w:eastAsia="PT Astra Serif" w:hAnsi="PT Astra Serif" w:cs="PT Astra Serif"/>
          <w:color w:val="000000" w:themeColor="text1"/>
          <w:sz w:val="28"/>
        </w:rPr>
        <w:t>, в пределах суммы указанных поступлений и снижения остатков средств на счетах по учету средств местного бюджета.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4.10. Индикатор P10: соблюдение ограничения на объем долга, установленного Бюджетным</w:t>
      </w:r>
      <w:hyperlink r:id="rId20" w:tgtFrame="consultantplus://offline/ref=A9F9A8487FD04B7F3B562109D202477A6E47E7E71F5553261176DAB310q7y6G">
        <w:r>
          <w:rPr>
            <w:rStyle w:val="af6"/>
            <w:rFonts w:ascii="PT Astra Serif" w:eastAsia="PT Astra Serif" w:hAnsi="PT Astra Serif" w:cs="PT Astra Serif"/>
            <w:color w:val="000000" w:themeColor="text1"/>
            <w:sz w:val="28"/>
            <w:u w:val="none"/>
          </w:rPr>
          <w:t xml:space="preserve"> кодексом</w:t>
        </w:r>
      </w:hyperlink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Российской Федерации.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Индикатор отслеживает выполнение муниципальным образованием (поселением)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 требования к объему долга муниципального образования (поселения)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района, установленному Бюджетным </w:t>
      </w:r>
      <w:hyperlink r:id="rId21" w:tgtFrame="consultantplus://offline/ref=A9F9A8487FD04B7F3B562109D202477A6E47E7E71F5553261176DAB310q7y6G">
        <w:r>
          <w:rPr>
            <w:rStyle w:val="af6"/>
            <w:rFonts w:ascii="PT Astra Serif" w:eastAsia="PT Astra Serif" w:hAnsi="PT Astra Serif" w:cs="PT Astra Serif"/>
            <w:color w:val="000000" w:themeColor="text1"/>
            <w:sz w:val="28"/>
            <w:u w:val="none"/>
          </w:rPr>
          <w:t>кодексом</w:t>
        </w:r>
      </w:hyperlink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Российской Федерации.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Формула расчета значения индикатора: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V = A/B x 100 процентов, где: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A - объем долга муниципального образования;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B - всего доходов бюджета муниципального образования (поселения)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 без учета безвозмездных перечислений из бюджетов других уровней и (или) поступлений налоговых доходов по дополнительным нормативам отчислений.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Минимальный риск неплатежеспособности (наилучший уровень управления бюджетом) - не выше 100 процентов.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В соответствии с Бюджетным </w:t>
      </w:r>
      <w:hyperlink r:id="rId22" w:tgtFrame="consultantplus://offline/ref=A9F9A8487FD04B7F3B562109D202477A6E47E7E71F5553261176DAB310q7y6G">
        <w:r>
          <w:rPr>
            <w:rStyle w:val="af6"/>
            <w:rFonts w:ascii="PT Astra Serif" w:eastAsia="PT Astra Serif" w:hAnsi="PT Astra Serif" w:cs="PT Astra Serif"/>
            <w:color w:val="000000" w:themeColor="text1"/>
            <w:sz w:val="28"/>
            <w:u w:val="none"/>
          </w:rPr>
          <w:t>кодексом</w:t>
        </w:r>
      </w:hyperlink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Российской Федерации объем долга не должен превышать объема доходов соответствующего бюджета без учета объема безвозмездных поступлений и (или) поступлений налоговых доходов по дополнительным нормативам отчислений.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proofErr w:type="gramStart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Для муниципального образования (поселения)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района, в отношении которого осуществляются меры, предусмотренные</w:t>
      </w:r>
      <w:hyperlink r:id="rId23" w:tgtFrame="consultantplus://offline/ref=A9F9A8487FD04B7F3B562109D202477A6E47E7E71F5553261176DAB31076C65902D1640F7C1CqCy7G">
        <w:r>
          <w:rPr>
            <w:rStyle w:val="af6"/>
            <w:rFonts w:ascii="PT Astra Serif" w:eastAsia="PT Astra Serif" w:hAnsi="PT Astra Serif" w:cs="PT Astra Serif"/>
            <w:color w:val="000000" w:themeColor="text1"/>
            <w:sz w:val="28"/>
            <w:u w:val="none"/>
          </w:rPr>
          <w:t xml:space="preserve"> частью 4 статьи 136</w:t>
        </w:r>
      </w:hyperlink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Бюджетного кодекса Российской Федерации, предельный объем муниципального долга не должен превышать 50 процентов утвержденного 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lastRenderedPageBreak/>
        <w:t>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proofErr w:type="gramEnd"/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proofErr w:type="gramStart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До 1 января 2018 года в случае утверждения муниципальным правовым актом представительного органа муниципального образования (поселения)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 о бюджете в составе источников финансирования дефицита местного бюджета бюджетных кредитов, привлекаемых в местный бюджет от других бюджетов бюджетной системы Российской Федерации, предельный объем муниципального долга может превысить ограничения, установленные</w:t>
      </w:r>
      <w:hyperlink r:id="rId24" w:tgtFrame="consultantplus://offline/ref=A9F9A8487FD04B7F3B562109D202477A6E47E7E71F5553261176DAB31076C65902D1640D7B1DqCy6G">
        <w:r>
          <w:rPr>
            <w:rStyle w:val="af6"/>
            <w:rFonts w:ascii="PT Astra Serif" w:eastAsia="PT Astra Serif" w:hAnsi="PT Astra Serif" w:cs="PT Astra Serif"/>
            <w:color w:val="000000" w:themeColor="text1"/>
            <w:sz w:val="28"/>
            <w:u w:val="none"/>
          </w:rPr>
          <w:t xml:space="preserve"> частью 3 статьи 107 </w:t>
        </w:r>
      </w:hyperlink>
      <w:r>
        <w:rPr>
          <w:rFonts w:ascii="PT Astra Serif" w:eastAsia="PT Astra Serif" w:hAnsi="PT Astra Serif" w:cs="PT Astra Serif"/>
          <w:color w:val="000000" w:themeColor="text1"/>
          <w:sz w:val="28"/>
        </w:rPr>
        <w:t>Бюджетного кодекса Российской Федерации, в пределах указанных кредитов.</w:t>
      </w:r>
      <w:proofErr w:type="gramEnd"/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4.11. Индикатор P11: соблюдение ограничения расходов на обслуживание долга, установленного Бюджетным </w:t>
      </w:r>
      <w:hyperlink r:id="rId25" w:tgtFrame="consultantplus://offline/ref=A9F9A8487FD04B7F3B562109D202477A6E47E7E71F5553261176DAB310q7y6G">
        <w:r>
          <w:rPr>
            <w:rStyle w:val="af6"/>
            <w:rFonts w:ascii="PT Astra Serif" w:eastAsia="PT Astra Serif" w:hAnsi="PT Astra Serif" w:cs="PT Astra Serif"/>
            <w:color w:val="000000" w:themeColor="text1"/>
            <w:sz w:val="28"/>
            <w:u w:val="none"/>
          </w:rPr>
          <w:t xml:space="preserve">кодексом </w:t>
        </w:r>
      </w:hyperlink>
      <w:r>
        <w:rPr>
          <w:rFonts w:ascii="PT Astra Serif" w:eastAsia="PT Astra Serif" w:hAnsi="PT Astra Serif" w:cs="PT Astra Serif"/>
          <w:color w:val="000000" w:themeColor="text1"/>
          <w:sz w:val="28"/>
        </w:rPr>
        <w:t>Российской Федерации.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Индикатор отслеживает выполнение требования Бюджетного </w:t>
      </w:r>
      <w:hyperlink r:id="rId26" w:tgtFrame="consultantplus://offline/ref=A9F9A8487FD04B7F3B562109D202477A6E47E7E71F5553261176DAB310q7y6G">
        <w:r>
          <w:rPr>
            <w:rStyle w:val="af6"/>
            <w:rFonts w:ascii="PT Astra Serif" w:eastAsia="PT Astra Serif" w:hAnsi="PT Astra Serif" w:cs="PT Astra Serif"/>
            <w:color w:val="000000" w:themeColor="text1"/>
            <w:sz w:val="28"/>
            <w:u w:val="none"/>
          </w:rPr>
          <w:t xml:space="preserve">кодекса </w:t>
        </w:r>
      </w:hyperlink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Российской Федерации, в соответствии с которым расходы на обслуживание долга муниципального образования (поселения)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 ограничиваются 15 процентами расходов бюджета.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Формула расчета значения индикатора: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V = A / B x 100 процентов, где: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A - расходы на обслуживание долга муниципального образования (поселения)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района;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B - всего расходов бюджета муниципального образования (поселения)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района,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Минимальный риск неплатежеспособности (наилучший уровень управления бюджетом) - не выше 15 процентов.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4.12. Индикатор P12: действующий официальный сайт (или раздел на сайте) финансового органа.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Индикатор отражает наличие сайта администрации муниципального образования с разделом финансового органа, регулярное размещение в информационно-телекоммуникационной сети «Интернет» информационного ресурса, характеризующего бюджетный процесс муниципального образования, с использованием различных форматов визуализации (графиков, диаграмм, рисунков, схем), с пояснениями и комментариями. 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lastRenderedPageBreak/>
        <w:t>Подготовка материалов о бюджете и отчетов о его исполнении в понятной для граждан форме.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4.13. Индикатор Р13: эффективность деятельности администрации по начислению и выгрузке платежей в ГИС ГМП.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Во исполнение Федерального закона от 27.07.2010 года № 210-ФЗ «Об организации предоставления государственных и муниципальных услуг»,</w:t>
      </w:r>
      <w:r>
        <w:rPr>
          <w:rFonts w:ascii="PT Astra Serif" w:eastAsia="PT Astra Serif" w:hAnsi="PT Astra Serif" w:cs="PT Astra Serif"/>
          <w:color w:val="000000" w:themeColor="text1"/>
        </w:rPr>
        <w:t xml:space="preserve"> 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прием, учет и передача информации между администраторами доходов бюджета, организациями по приему платежей, порталами, многофункциональными центрами, должно производиться через систему межведомственного электронного взаимодействия ГИС ГМП. ГИС ГМП позволяет физическим и юридическим лицам получить информацию о своих обязательствах перед бюджетами бюджетной системы Российской Федерации по принципу «единого окна».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Индикатор отражает отношение суммы начисленных и выгруженных в ГИС ГМП извещений администратора доходов муниципального образования к сумме платежей, администрируемых администратором доходов муниципального образования, поступивших в бюджет и подлежащих размещению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Формула расчета значения индикатора: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V = A / B x 100 процентов, где: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A - сумма платежей, начисленных администратором доходов муниципального образования в ГИС ГМП;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B - сумма платежей, администрируемых администратором доходов, поступивших в бюджет, отраженных в ГИС ГМП.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Минимальный риск неплатежеспособности (больший объем выгруженных платежей) - не менее 100 процентов.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4.14. Индикатор P14: повышение квалификации работников органов местного самоуправления на регулярной основе.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В условиях постоянно меняющегося бюджетного законодательства отсутствие регулярных курсов повышения квалификации приводит к отставанию уровня информированности и квалификации работников органов местного самоуправления, что соответствующим образом отражается на качестве управления муниципальными финансами.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Минимальный риск неплатежеспособности (наилучший уровень управления бюджетом): утверждение муниципальным правовым актом 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lastRenderedPageBreak/>
        <w:t xml:space="preserve">муниципального </w:t>
      </w:r>
      <w:proofErr w:type="gramStart"/>
      <w:r>
        <w:rPr>
          <w:rFonts w:ascii="PT Astra Serif" w:eastAsia="PT Astra Serif" w:hAnsi="PT Astra Serif" w:cs="PT Astra Serif"/>
          <w:color w:val="000000" w:themeColor="text1"/>
          <w:sz w:val="28"/>
        </w:rPr>
        <w:t>образования порядка проведения курсов повышения квалификации работников органов местного самоуправления</w:t>
      </w:r>
      <w:proofErr w:type="gramEnd"/>
      <w:r>
        <w:rPr>
          <w:rFonts w:ascii="PT Astra Serif" w:eastAsia="PT Astra Serif" w:hAnsi="PT Astra Serif" w:cs="PT Astra Serif"/>
          <w:color w:val="000000" w:themeColor="text1"/>
          <w:sz w:val="28"/>
        </w:rPr>
        <w:t>;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повышение квалификации работниками органов местного самоуправления не реже 1 раза в три года.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4.15. Индикатор P15: расходы бюджета муниципального образования, формируемые в рамках муниципальных программ.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Индикатор отражает удельный вес расходов бюджета муниципального образования, формируемых в рамках муниципальных программ, в общем объеме расходов бюджета муниципального образования в отчетном финансовом году.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Формула расчета значения индикатора: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V = A / B x 100 процентов, где:</w:t>
      </w:r>
    </w:p>
    <w:p w:rsidR="00E33D5B" w:rsidRDefault="00E33D5B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proofErr w:type="gramStart"/>
      <w:r>
        <w:rPr>
          <w:rFonts w:ascii="PT Astra Serif" w:eastAsia="PT Astra Serif" w:hAnsi="PT Astra Serif" w:cs="PT Astra Serif"/>
          <w:color w:val="000000" w:themeColor="text1"/>
          <w:sz w:val="28"/>
        </w:rPr>
        <w:t>A - расходы бюджета муниципального образования, формируемые в рамках муниципальных программ с учетом субсидий из бюджета области (без учета субвенций, иных межбюджетных трансфертов из бюджетов других уровней, субсидий, перечисляемых в бюджет области для формирования областного фонда финансовой поддержки муниципальных районов (городских округов), субсидий, перечисляемых из бюджетов поселений в бюджеты муниципальных районов на решение вопросов местного значения межмуниципального характера);</w:t>
      </w:r>
      <w:proofErr w:type="gramEnd"/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proofErr w:type="gramStart"/>
      <w:r>
        <w:rPr>
          <w:rFonts w:ascii="PT Astra Serif" w:eastAsia="PT Astra Serif" w:hAnsi="PT Astra Serif" w:cs="PT Astra Serif"/>
          <w:color w:val="000000" w:themeColor="text1"/>
          <w:sz w:val="28"/>
        </w:rPr>
        <w:t>B - всего расходов бюджета муниципального образования в отчетном финансовом году (без учета субвенций, иных межбюджетных трансфертов из бюджетов других уровней, субсидий, перечисляемых в бюджет области для формирования областного фонда финансовой поддержки муниципальных районов (городских округов), субсидий, перечисляемых из бюджетов поселений в бюджеты муниципальных районов на решение вопросов местного значения межмуниципального характера.</w:t>
      </w:r>
      <w:proofErr w:type="gramEnd"/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Минимальный риск неплатежеспособности (наилучший уровень управления бюджетом) - 80,0 процента.</w:t>
      </w:r>
    </w:p>
    <w:p w:rsidR="00E33D5B" w:rsidRDefault="00163B25">
      <w:pPr>
        <w:spacing w:line="362" w:lineRule="exact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Максимальный риск неплатежеспособности (минимальный уровень управления бюджетом) - 50,0 процента.</w:t>
      </w:r>
    </w:p>
    <w:p w:rsidR="00E33D5B" w:rsidRDefault="00E33D5B">
      <w:pPr>
        <w:spacing w:line="57" w:lineRule="atLeast"/>
        <w:jc w:val="right"/>
        <w:rPr>
          <w:rFonts w:ascii="PT Astra Serif" w:hAnsi="PT Astra Serif"/>
        </w:rPr>
      </w:pPr>
    </w:p>
    <w:p w:rsidR="00E33D5B" w:rsidRDefault="00163B25">
      <w:pPr>
        <w:spacing w:line="57" w:lineRule="atLeast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</w:t>
      </w:r>
    </w:p>
    <w:sectPr w:rsidR="00E33D5B">
      <w:headerReference w:type="default" r:id="rId27"/>
      <w:headerReference w:type="first" r:id="rId28"/>
      <w:pgSz w:w="11906" w:h="16838"/>
      <w:pgMar w:top="1134" w:right="850" w:bottom="1134" w:left="1701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799" w:rsidRDefault="00D32799">
      <w:r>
        <w:separator/>
      </w:r>
    </w:p>
  </w:endnote>
  <w:endnote w:type="continuationSeparator" w:id="0">
    <w:p w:rsidR="00D32799" w:rsidRDefault="00D3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799" w:rsidRDefault="00D32799">
      <w:r>
        <w:separator/>
      </w:r>
    </w:p>
  </w:footnote>
  <w:footnote w:type="continuationSeparator" w:id="0">
    <w:p w:rsidR="00D32799" w:rsidRDefault="00D32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5B" w:rsidRDefault="00163B25">
    <w:pPr>
      <w:pStyle w:val="af9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fldChar w:fldCharType="begin"/>
    </w:r>
    <w:r>
      <w:rPr>
        <w:rFonts w:ascii="PT Astra Serif" w:hAnsi="PT Astra Serif"/>
        <w:sz w:val="28"/>
        <w:szCs w:val="28"/>
      </w:rPr>
      <w:instrText xml:space="preserve"> PAGE </w:instrText>
    </w:r>
    <w:r>
      <w:rPr>
        <w:rFonts w:ascii="PT Astra Serif" w:hAnsi="PT Astra Serif"/>
        <w:sz w:val="28"/>
        <w:szCs w:val="28"/>
      </w:rPr>
      <w:fldChar w:fldCharType="separate"/>
    </w:r>
    <w:r w:rsidR="009553E3">
      <w:rPr>
        <w:rFonts w:ascii="PT Astra Serif" w:hAnsi="PT Astra Serif"/>
        <w:noProof/>
        <w:sz w:val="28"/>
        <w:szCs w:val="28"/>
      </w:rPr>
      <w:t>2</w:t>
    </w:r>
    <w:r>
      <w:rPr>
        <w:rFonts w:ascii="PT Astra Serif" w:hAnsi="PT Astra Serif"/>
        <w:sz w:val="28"/>
        <w:szCs w:val="28"/>
      </w:rPr>
      <w:fldChar w:fldCharType="end"/>
    </w:r>
  </w:p>
  <w:p w:rsidR="00E33D5B" w:rsidRDefault="00E33D5B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5B" w:rsidRDefault="00163B25">
    <w:pPr>
      <w:pStyle w:val="af9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fldChar w:fldCharType="begin"/>
    </w:r>
    <w:r>
      <w:rPr>
        <w:rFonts w:ascii="PT Astra Serif" w:hAnsi="PT Astra Serif"/>
        <w:sz w:val="28"/>
        <w:szCs w:val="28"/>
      </w:rPr>
      <w:instrText xml:space="preserve"> PAGE </w:instrText>
    </w:r>
    <w:r>
      <w:rPr>
        <w:rFonts w:ascii="PT Astra Serif" w:hAnsi="PT Astra Serif"/>
        <w:sz w:val="28"/>
        <w:szCs w:val="28"/>
      </w:rPr>
      <w:fldChar w:fldCharType="separate"/>
    </w:r>
    <w:r w:rsidR="009553E3">
      <w:rPr>
        <w:rFonts w:ascii="PT Astra Serif" w:hAnsi="PT Astra Serif"/>
        <w:noProof/>
        <w:sz w:val="28"/>
        <w:szCs w:val="28"/>
      </w:rPr>
      <w:t>6</w:t>
    </w:r>
    <w:r>
      <w:rPr>
        <w:rFonts w:ascii="PT Astra Serif" w:hAnsi="PT Astra Serif"/>
        <w:sz w:val="28"/>
        <w:szCs w:val="28"/>
      </w:rPr>
      <w:fldChar w:fldCharType="end"/>
    </w:r>
  </w:p>
  <w:p w:rsidR="00E33D5B" w:rsidRDefault="00E33D5B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5B" w:rsidRDefault="00E33D5B">
    <w:pPr>
      <w:pStyle w:val="af9"/>
      <w:jc w:val="center"/>
    </w:pPr>
  </w:p>
  <w:p w:rsidR="00E33D5B" w:rsidRDefault="00E33D5B">
    <w:pPr>
      <w:pStyle w:val="af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5B" w:rsidRDefault="00163B25">
    <w:pPr>
      <w:pStyle w:val="af9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fldChar w:fldCharType="begin"/>
    </w:r>
    <w:r>
      <w:rPr>
        <w:rFonts w:ascii="PT Astra Serif" w:hAnsi="PT Astra Serif"/>
        <w:sz w:val="28"/>
        <w:szCs w:val="28"/>
      </w:rPr>
      <w:instrText xml:space="preserve"> PAGE </w:instrText>
    </w:r>
    <w:r>
      <w:rPr>
        <w:rFonts w:ascii="PT Astra Serif" w:hAnsi="PT Astra Serif"/>
        <w:sz w:val="28"/>
        <w:szCs w:val="28"/>
      </w:rPr>
      <w:fldChar w:fldCharType="separate"/>
    </w:r>
    <w:r w:rsidR="009553E3">
      <w:rPr>
        <w:rFonts w:ascii="PT Astra Serif" w:hAnsi="PT Astra Serif"/>
        <w:noProof/>
        <w:sz w:val="28"/>
        <w:szCs w:val="28"/>
      </w:rPr>
      <w:t>2</w:t>
    </w:r>
    <w:r>
      <w:rPr>
        <w:rFonts w:ascii="PT Astra Serif" w:hAnsi="PT Astra Serif"/>
        <w:sz w:val="28"/>
        <w:szCs w:val="28"/>
      </w:rPr>
      <w:fldChar w:fldCharType="end"/>
    </w:r>
  </w:p>
  <w:p w:rsidR="00E33D5B" w:rsidRDefault="00E33D5B">
    <w:pPr>
      <w:pStyle w:val="af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5B" w:rsidRDefault="00E33D5B">
    <w:pPr>
      <w:pStyle w:val="af9"/>
      <w:jc w:val="center"/>
    </w:pPr>
  </w:p>
  <w:p w:rsidR="00E33D5B" w:rsidRDefault="00E33D5B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5B"/>
    <w:rsid w:val="00163B25"/>
    <w:rsid w:val="009553E3"/>
    <w:rsid w:val="00B22E0A"/>
    <w:rsid w:val="00D32799"/>
    <w:rsid w:val="00E3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Noto Sans Devanaga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left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left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0">
    <w:name w:val="Цитата 2 Знак"/>
    <w:link w:val="21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a0"/>
    <w:uiPriority w:val="35"/>
    <w:qFormat/>
    <w:rPr>
      <w:b/>
      <w:bCs/>
      <w:color w:val="5B9BD5" w:themeColor="accent1"/>
      <w:sz w:val="18"/>
      <w:szCs w:val="18"/>
    </w:rPr>
  </w:style>
  <w:style w:type="character" w:customStyle="1" w:styleId="a9">
    <w:name w:val="Текст сноски Знак"/>
    <w:link w:val="aa"/>
    <w:uiPriority w:val="99"/>
    <w:qFormat/>
    <w:rPr>
      <w:sz w:val="18"/>
    </w:rPr>
  </w:style>
  <w:style w:type="character" w:customStyle="1" w:styleId="ab">
    <w:name w:val="Символ сноски"/>
    <w:uiPriority w:val="99"/>
    <w:unhideWhenUsed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customStyle="1" w:styleId="af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f1">
    <w:name w:val="page number"/>
    <w:basedOn w:val="10"/>
    <w:qFormat/>
  </w:style>
  <w:style w:type="character" w:customStyle="1" w:styleId="af2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basedOn w:val="10"/>
    <w:qFormat/>
  </w:style>
  <w:style w:type="character" w:customStyle="1" w:styleId="af4">
    <w:name w:val="Тема примечания Знак"/>
    <w:qFormat/>
    <w:rPr>
      <w:b/>
      <w:bCs/>
    </w:rPr>
  </w:style>
  <w:style w:type="character" w:styleId="af5">
    <w:name w:val="Placeholder Text"/>
    <w:qFormat/>
    <w:rPr>
      <w:color w:val="808080"/>
    </w:rPr>
  </w:style>
  <w:style w:type="character" w:styleId="af6">
    <w:name w:val="Hyperlink"/>
    <w:rPr>
      <w:color w:val="0000FF"/>
      <w:u w:val="single"/>
    </w:rPr>
  </w:style>
  <w:style w:type="character" w:customStyle="1" w:styleId="af7">
    <w:name w:val="Текст Знак"/>
    <w:qFormat/>
    <w:rPr>
      <w:rFonts w:ascii="Courier New" w:hAnsi="Courier New" w:cs="Courier New"/>
    </w:rPr>
  </w:style>
  <w:style w:type="character" w:customStyle="1" w:styleId="af8">
    <w:name w:val="Верхний колонтитул Знак"/>
    <w:link w:val="af9"/>
    <w:uiPriority w:val="99"/>
    <w:qFormat/>
    <w:rPr>
      <w:sz w:val="24"/>
      <w:szCs w:val="24"/>
      <w:lang w:eastAsia="zh-CN"/>
    </w:rPr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</w:rPr>
  </w:style>
  <w:style w:type="paragraph" w:styleId="afc">
    <w:name w:val="List"/>
    <w:basedOn w:val="afb"/>
    <w:rPr>
      <w:rFonts w:cs="Mangal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e">
    <w:name w:val="index heading"/>
    <w:basedOn w:val="afa"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indexheading1">
    <w:name w:val="index heading1"/>
    <w:basedOn w:val="afa"/>
    <w:qFormat/>
  </w:style>
  <w:style w:type="paragraph" w:styleId="a4">
    <w:name w:val="Title"/>
    <w:basedOn w:val="a"/>
    <w:next w:val="a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</w:style>
  <w:style w:type="paragraph" w:styleId="21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a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  <w:qFormat/>
  </w:style>
  <w:style w:type="paragraph" w:styleId="aff0">
    <w:name w:val="table of figures"/>
    <w:basedOn w:val="a"/>
    <w:next w:val="a"/>
    <w:uiPriority w:val="99"/>
    <w:unhideWhenUsed/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3">
    <w:name w:val="Колонтитул"/>
    <w:basedOn w:val="a"/>
    <w:qFormat/>
  </w:style>
  <w:style w:type="paragraph" w:styleId="af9">
    <w:name w:val="header"/>
    <w:basedOn w:val="a"/>
    <w:link w:val="af8"/>
    <w:uiPriority w:val="99"/>
  </w:style>
  <w:style w:type="paragraph" w:styleId="aff4">
    <w:name w:val="footer"/>
    <w:basedOn w:val="a"/>
  </w:style>
  <w:style w:type="paragraph" w:styleId="af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f6">
    <w:name w:val="annotation subject"/>
    <w:basedOn w:val="15"/>
    <w:next w:val="15"/>
    <w:qFormat/>
    <w:rPr>
      <w:b/>
      <w:bCs/>
    </w:rPr>
  </w:style>
  <w:style w:type="paragraph" w:styleId="aff7">
    <w:name w:val="Revision"/>
    <w:qFormat/>
    <w:rPr>
      <w:rFonts w:eastAsia="Times New Roman" w:cs="Times New Roman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sz w:val="24"/>
      <w:szCs w:val="24"/>
      <w:lang w:eastAsia="zh-CN" w:bidi="hi-IN"/>
    </w:rPr>
  </w:style>
  <w:style w:type="paragraph" w:styleId="aff8">
    <w:name w:val="List Paragraph"/>
    <w:basedOn w:val="a"/>
    <w:qFormat/>
    <w:pPr>
      <w:ind w:left="720"/>
      <w:contextualSpacing/>
    </w:pPr>
  </w:style>
  <w:style w:type="paragraph" w:customStyle="1" w:styleId="af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a">
    <w:name w:val="Содержимое таблицы"/>
    <w:basedOn w:val="a"/>
    <w:qFormat/>
    <w:pPr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"/>
    <w:qFormat/>
  </w:style>
  <w:style w:type="paragraph" w:styleId="affd">
    <w:name w:val="No Spacing"/>
    <w:uiPriority w:val="1"/>
    <w:qFormat/>
    <w:rPr>
      <w:rFonts w:eastAsia="Times New Roman" w:cs="Times New Roman"/>
      <w:sz w:val="24"/>
      <w:szCs w:val="24"/>
    </w:rPr>
  </w:style>
  <w:style w:type="paragraph" w:customStyle="1" w:styleId="26">
    <w:name w:val="Текст2"/>
    <w:basedOn w:val="a"/>
    <w:qFormat/>
    <w:rPr>
      <w:rFonts w:ascii="Courier New" w:hAnsi="Courier New"/>
      <w:sz w:val="20"/>
      <w:szCs w:val="20"/>
      <w:lang w:eastAsia="ru-RU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bCs/>
    </w:r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FFFFFF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e">
    <w:name w:val="Table Grid"/>
    <w:basedOn w:val="a1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Noto Sans Devanaga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left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left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0">
    <w:name w:val="Цитата 2 Знак"/>
    <w:link w:val="21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a0"/>
    <w:uiPriority w:val="35"/>
    <w:qFormat/>
    <w:rPr>
      <w:b/>
      <w:bCs/>
      <w:color w:val="5B9BD5" w:themeColor="accent1"/>
      <w:sz w:val="18"/>
      <w:szCs w:val="18"/>
    </w:rPr>
  </w:style>
  <w:style w:type="character" w:customStyle="1" w:styleId="a9">
    <w:name w:val="Текст сноски Знак"/>
    <w:link w:val="aa"/>
    <w:uiPriority w:val="99"/>
    <w:qFormat/>
    <w:rPr>
      <w:sz w:val="18"/>
    </w:rPr>
  </w:style>
  <w:style w:type="character" w:customStyle="1" w:styleId="ab">
    <w:name w:val="Символ сноски"/>
    <w:uiPriority w:val="99"/>
    <w:unhideWhenUsed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customStyle="1" w:styleId="af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f1">
    <w:name w:val="page number"/>
    <w:basedOn w:val="10"/>
    <w:qFormat/>
  </w:style>
  <w:style w:type="character" w:customStyle="1" w:styleId="af2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basedOn w:val="10"/>
    <w:qFormat/>
  </w:style>
  <w:style w:type="character" w:customStyle="1" w:styleId="af4">
    <w:name w:val="Тема примечания Знак"/>
    <w:qFormat/>
    <w:rPr>
      <w:b/>
      <w:bCs/>
    </w:rPr>
  </w:style>
  <w:style w:type="character" w:styleId="af5">
    <w:name w:val="Placeholder Text"/>
    <w:qFormat/>
    <w:rPr>
      <w:color w:val="808080"/>
    </w:rPr>
  </w:style>
  <w:style w:type="character" w:styleId="af6">
    <w:name w:val="Hyperlink"/>
    <w:rPr>
      <w:color w:val="0000FF"/>
      <w:u w:val="single"/>
    </w:rPr>
  </w:style>
  <w:style w:type="character" w:customStyle="1" w:styleId="af7">
    <w:name w:val="Текст Знак"/>
    <w:qFormat/>
    <w:rPr>
      <w:rFonts w:ascii="Courier New" w:hAnsi="Courier New" w:cs="Courier New"/>
    </w:rPr>
  </w:style>
  <w:style w:type="character" w:customStyle="1" w:styleId="af8">
    <w:name w:val="Верхний колонтитул Знак"/>
    <w:link w:val="af9"/>
    <w:uiPriority w:val="99"/>
    <w:qFormat/>
    <w:rPr>
      <w:sz w:val="24"/>
      <w:szCs w:val="24"/>
      <w:lang w:eastAsia="zh-CN"/>
    </w:rPr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</w:rPr>
  </w:style>
  <w:style w:type="paragraph" w:styleId="afc">
    <w:name w:val="List"/>
    <w:basedOn w:val="afb"/>
    <w:rPr>
      <w:rFonts w:cs="Mangal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e">
    <w:name w:val="index heading"/>
    <w:basedOn w:val="afa"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indexheading1">
    <w:name w:val="index heading1"/>
    <w:basedOn w:val="afa"/>
    <w:qFormat/>
  </w:style>
  <w:style w:type="paragraph" w:styleId="a4">
    <w:name w:val="Title"/>
    <w:basedOn w:val="a"/>
    <w:next w:val="a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</w:style>
  <w:style w:type="paragraph" w:styleId="21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a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  <w:qFormat/>
  </w:style>
  <w:style w:type="paragraph" w:styleId="aff0">
    <w:name w:val="table of figures"/>
    <w:basedOn w:val="a"/>
    <w:next w:val="a"/>
    <w:uiPriority w:val="99"/>
    <w:unhideWhenUsed/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3">
    <w:name w:val="Колонтитул"/>
    <w:basedOn w:val="a"/>
    <w:qFormat/>
  </w:style>
  <w:style w:type="paragraph" w:styleId="af9">
    <w:name w:val="header"/>
    <w:basedOn w:val="a"/>
    <w:link w:val="af8"/>
    <w:uiPriority w:val="99"/>
  </w:style>
  <w:style w:type="paragraph" w:styleId="aff4">
    <w:name w:val="footer"/>
    <w:basedOn w:val="a"/>
  </w:style>
  <w:style w:type="paragraph" w:styleId="af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f6">
    <w:name w:val="annotation subject"/>
    <w:basedOn w:val="15"/>
    <w:next w:val="15"/>
    <w:qFormat/>
    <w:rPr>
      <w:b/>
      <w:bCs/>
    </w:rPr>
  </w:style>
  <w:style w:type="paragraph" w:styleId="aff7">
    <w:name w:val="Revision"/>
    <w:qFormat/>
    <w:rPr>
      <w:rFonts w:eastAsia="Times New Roman" w:cs="Times New Roman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sz w:val="24"/>
      <w:szCs w:val="24"/>
      <w:lang w:eastAsia="zh-CN" w:bidi="hi-IN"/>
    </w:rPr>
  </w:style>
  <w:style w:type="paragraph" w:styleId="aff8">
    <w:name w:val="List Paragraph"/>
    <w:basedOn w:val="a"/>
    <w:qFormat/>
    <w:pPr>
      <w:ind w:left="720"/>
      <w:contextualSpacing/>
    </w:pPr>
  </w:style>
  <w:style w:type="paragraph" w:customStyle="1" w:styleId="af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a">
    <w:name w:val="Содержимое таблицы"/>
    <w:basedOn w:val="a"/>
    <w:qFormat/>
    <w:pPr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"/>
    <w:qFormat/>
  </w:style>
  <w:style w:type="paragraph" w:styleId="affd">
    <w:name w:val="No Spacing"/>
    <w:uiPriority w:val="1"/>
    <w:qFormat/>
    <w:rPr>
      <w:rFonts w:eastAsia="Times New Roman" w:cs="Times New Roman"/>
      <w:sz w:val="24"/>
      <w:szCs w:val="24"/>
    </w:rPr>
  </w:style>
  <w:style w:type="paragraph" w:customStyle="1" w:styleId="26">
    <w:name w:val="Текст2"/>
    <w:basedOn w:val="a"/>
    <w:qFormat/>
    <w:rPr>
      <w:rFonts w:ascii="Courier New" w:hAnsi="Courier New"/>
      <w:sz w:val="20"/>
      <w:szCs w:val="20"/>
      <w:lang w:eastAsia="ru-RU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bCs/>
    </w:r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FFFFFF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e">
    <w:name w:val="Table Grid"/>
    <w:basedOn w:val="a1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consultantplus://offline/ref=A9F9A8487FD04B7F3B562109D202477A6E47E7E71F5553261176DAB310q7y6G" TargetMode="External"/><Relationship Id="rId26" Type="http://schemas.openxmlformats.org/officeDocument/2006/relationships/hyperlink" Target="consultantplus://offline/ref=A9F9A8487FD04B7F3B562109D202477A6E47E7E71F5553261176DAB310q7y6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9F9A8487FD04B7F3B562109D202477A6E47E7E71F5553261176DAB310q7y6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F9A8487FD04B7F3B562109D202477A6D4EE6E71F5753261176DAB310q7y6G" TargetMode="External"/><Relationship Id="rId17" Type="http://schemas.openxmlformats.org/officeDocument/2006/relationships/hyperlink" Target="consultantplus://offline/ref=A9F9A8487FD04B7F3B562109D202477A6E47E7E71F5553261176DAB310q7y6G" TargetMode="External"/><Relationship Id="rId25" Type="http://schemas.openxmlformats.org/officeDocument/2006/relationships/hyperlink" Target="consultantplus://offline/ref=A9F9A8487FD04B7F3B562109D202477A6E47E7E71F5553261176DAB310q7y6G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C:\opt\r7-office\desktopeditors\editors\web-apps\apps\documenteditor\main\index.html%3f_dc=0&amp;lang=ru-RU&amp;frameEditorId=placeholder&amp;parentOrigin=file:\" TargetMode="External"/><Relationship Id="rId20" Type="http://schemas.openxmlformats.org/officeDocument/2006/relationships/hyperlink" Target="consultantplus://offline/ref=A9F9A8487FD04B7F3B562109D202477A6E47E7E71F5553261176DAB310q7y6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F9A8487FD04B7F3B562109D202477A6E47E7E71F5553261176DAB310q7y6G" TargetMode="External"/><Relationship Id="rId24" Type="http://schemas.openxmlformats.org/officeDocument/2006/relationships/hyperlink" Target="consultantplus://offline/ref=A9F9A8487FD04B7F3B562109D202477A6E47E7E71F5553261176DAB31076C65902D1640D7B1DqCy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C:\opt\r7-office\desktopeditors\editors\web-apps\apps\documenteditor\main\index.html%3f_dc=0&amp;lang=ru-RU&amp;frameEditorId=placeholder&amp;parentOrigin=file:\" TargetMode="External"/><Relationship Id="rId23" Type="http://schemas.openxmlformats.org/officeDocument/2006/relationships/hyperlink" Target="consultantplus://offline/ref=A9F9A8487FD04B7F3B562109D202477A6E47E7E71F5553261176DAB31076C65902D1640F7C1CqCy7G" TargetMode="External"/><Relationship Id="rId28" Type="http://schemas.openxmlformats.org/officeDocument/2006/relationships/header" Target="header5.xml"/><Relationship Id="rId10" Type="http://schemas.openxmlformats.org/officeDocument/2006/relationships/hyperlink" Target="consultantplus://offline/ref=A9F9A8487FD04B7F3B562109D202477A6E47E7E71F5553261176DAB310q7y6G" TargetMode="External"/><Relationship Id="rId19" Type="http://schemas.openxmlformats.org/officeDocument/2006/relationships/hyperlink" Target="consultantplus://offline/ref=A9F9A8487FD04B7F3B562109D202477A6E47E7E71F5553261176DAB31076C65902D1640F7C1CqCy7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yperlink" Target="consultantplus://offline/ref=A9F9A8487FD04B7F3B562109D202477A6E47E7E71F5553261176DAB310q7y6G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34A75-36E8-486B-BEA7-F669AE3A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5759</Words>
  <Characters>32829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2025-04-29T13:20:00Z</cp:lastPrinted>
  <dcterms:created xsi:type="dcterms:W3CDTF">2025-04-29T13:21:00Z</dcterms:created>
  <dcterms:modified xsi:type="dcterms:W3CDTF">2025-04-29T13:21:00Z</dcterms:modified>
  <dc:language>ru-RU</dc:language>
</cp:coreProperties>
</file>