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Щ</w:t>
      </w:r>
      <w:r>
        <w:rPr>
          <w:rFonts w:ascii="PT Astra Serif" w:hAnsi="PT Astra Serif"/>
          <w:b w:val="1"/>
          <w:sz w:val="34"/>
        </w:rPr>
        <w:t>Ё</w:t>
      </w:r>
      <w:r>
        <w:rPr>
          <w:rFonts w:ascii="PT Astra Serif" w:hAnsi="PT Astra Serif"/>
          <w:b w:val="1"/>
          <w:sz w:val="34"/>
        </w:rPr>
        <w:t xml:space="preserve">КИНСКИЙ РАЙОН </w:t>
      </w:r>
    </w:p>
    <w:p w14:paraId="0B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C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D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E00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</w:t>
            </w:r>
            <w:r>
              <w:rPr>
                <w:rFonts w:ascii="PT Astra Serif" w:hAnsi="PT Astra Serif"/>
                <w:sz w:val="28"/>
              </w:rPr>
              <w:t xml:space="preserve"> 08.10.2026</w:t>
            </w:r>
          </w:p>
        </w:tc>
        <w:tc>
          <w:tcPr>
            <w:tcW w:type="dxa" w:w="2409"/>
            <w:shd w:fill="auto" w:val="clear"/>
          </w:tcPr>
          <w:p w14:paraId="0F000000">
            <w:pPr>
              <w:widowControl w:val="1"/>
              <w:ind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1660</w:t>
            </w:r>
          </w:p>
        </w:tc>
      </w:tr>
    </w:tbl>
    <w:p w14:paraId="10000000">
      <w:pPr>
        <w:widowControl w:val="1"/>
        <w:ind/>
        <w:jc w:val="left"/>
        <w:rPr>
          <w:rFonts w:ascii="PT Astra Serif" w:hAnsi="PT Astra Serif"/>
          <w:sz w:val="16"/>
        </w:rPr>
      </w:pPr>
    </w:p>
    <w:p w14:paraId="11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sz w:val="16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</w:t>
      </w:r>
      <w:r>
        <w:rPr>
          <w:rFonts w:ascii="PT Astra Serif" w:hAnsi="PT Astra Serif"/>
          <w:b w:val="1"/>
          <w:sz w:val="28"/>
        </w:rPr>
        <w:t>й</w:t>
      </w:r>
      <w:r>
        <w:rPr>
          <w:rFonts w:ascii="PT Astra Serif" w:hAnsi="PT Astra Serif"/>
          <w:b w:val="1"/>
          <w:sz w:val="28"/>
        </w:rPr>
        <w:t xml:space="preserve"> в постановление администрации 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Щёкинского</w:t>
      </w:r>
      <w:r>
        <w:rPr>
          <w:rFonts w:ascii="PT Astra Serif" w:hAnsi="PT Astra Serif"/>
          <w:b w:val="1"/>
          <w:sz w:val="28"/>
        </w:rPr>
        <w:t xml:space="preserve"> района </w:t>
      </w:r>
      <w:r>
        <w:rPr>
          <w:rFonts w:ascii="PT Astra Serif" w:hAnsi="PT Astra Serif"/>
          <w:b w:val="1"/>
          <w:sz w:val="28"/>
        </w:rPr>
        <w:t>от 30.12.2015 № 12-1910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«Об утверждении 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Правил определения требований к </w:t>
      </w:r>
      <w:r>
        <w:rPr>
          <w:rFonts w:ascii="PT Astra Serif" w:hAnsi="PT Astra Serif"/>
          <w:b w:val="1"/>
          <w:sz w:val="28"/>
        </w:rPr>
        <w:t>закупаемым</w:t>
      </w:r>
      <w:r>
        <w:rPr>
          <w:rFonts w:ascii="PT Astra Serif" w:hAnsi="PT Astra Serif"/>
          <w:b w:val="1"/>
          <w:sz w:val="28"/>
        </w:rPr>
        <w:t xml:space="preserve"> органами местного самоуправления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муниципального образования Щ</w:t>
      </w:r>
      <w:r>
        <w:rPr>
          <w:rFonts w:ascii="PT Astra Serif" w:hAnsi="PT Astra Serif"/>
          <w:b w:val="1"/>
          <w:sz w:val="28"/>
        </w:rPr>
        <w:t>ё</w:t>
      </w:r>
      <w:r>
        <w:rPr>
          <w:rFonts w:ascii="PT Astra Serif" w:hAnsi="PT Astra Serif"/>
          <w:b w:val="1"/>
          <w:sz w:val="28"/>
        </w:rPr>
        <w:t xml:space="preserve">кинский район, </w:t>
      </w:r>
    </w:p>
    <w:p w14:paraId="1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отраслевыми (функциональными) органами администрации муниципального образования Щ</w:t>
      </w:r>
      <w:r>
        <w:rPr>
          <w:rFonts w:ascii="PT Astra Serif" w:hAnsi="PT Astra Serif"/>
          <w:b w:val="1"/>
          <w:sz w:val="28"/>
        </w:rPr>
        <w:t>ё</w:t>
      </w:r>
      <w:r>
        <w:rPr>
          <w:rFonts w:ascii="PT Astra Serif" w:hAnsi="PT Astra Serif"/>
          <w:b w:val="1"/>
          <w:sz w:val="28"/>
        </w:rPr>
        <w:t xml:space="preserve">кинский район, имеющими статус юридических лиц (включая подведомственные им казённые и бюджетные учреждения) отдельным видам товаров, работ, услуг </w:t>
      </w:r>
    </w:p>
    <w:p w14:paraId="16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(в том числе предельные цены товаров, работ, услуг) для обеспечения муниципальных нужд муниципального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образования Щ</w:t>
      </w:r>
      <w:r>
        <w:rPr>
          <w:rFonts w:ascii="PT Astra Serif" w:hAnsi="PT Astra Serif"/>
          <w:b w:val="1"/>
          <w:sz w:val="28"/>
        </w:rPr>
        <w:t>ё</w:t>
      </w:r>
      <w:r>
        <w:rPr>
          <w:rFonts w:ascii="PT Astra Serif" w:hAnsi="PT Astra Serif"/>
          <w:b w:val="1"/>
          <w:sz w:val="28"/>
        </w:rPr>
        <w:t>кинский район»</w:t>
      </w:r>
    </w:p>
    <w:p w14:paraId="17000000">
      <w:pPr>
        <w:widowControl w:val="1"/>
        <w:ind/>
        <w:jc w:val="center"/>
        <w:rPr>
          <w:rFonts w:ascii="PT Astra Serif" w:hAnsi="PT Astra Serif"/>
          <w:sz w:val="24"/>
        </w:rPr>
      </w:pPr>
    </w:p>
    <w:p w14:paraId="18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05.04.2013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44-ФЗ </w:t>
      </w:r>
      <w:r>
        <w:rPr>
          <w:rFonts w:ascii="PT Astra Serif" w:hAnsi="PT Astra Serif"/>
          <w:sz w:val="28"/>
        </w:rPr>
        <w:t xml:space="preserve">                                                    </w:t>
      </w:r>
      <w:r>
        <w:rPr>
          <w:rFonts w:ascii="PT Astra Serif" w:hAnsi="PT Astra Serif"/>
          <w:sz w:val="28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PT Astra Serif" w:hAnsi="PT Astra Serif"/>
          <w:sz w:val="28"/>
        </w:rPr>
        <w:t>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131-ФЗ «Об общих принципах организации местного самоуправления в Российской Федерации», Федеральным законом 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sz w:val="28"/>
        </w:rPr>
        <w:t xml:space="preserve">на основании Устава </w:t>
      </w:r>
      <w:r>
        <w:rPr>
          <w:rFonts w:ascii="PT Astra Serif" w:hAnsi="PT Astra Serif"/>
          <w:sz w:val="28"/>
        </w:rPr>
        <w:t>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кинского</w:t>
      </w:r>
      <w:r>
        <w:rPr>
          <w:rFonts w:ascii="PT Astra Serif" w:hAnsi="PT Astra Serif"/>
          <w:sz w:val="28"/>
        </w:rPr>
        <w:t xml:space="preserve"> муниципального района Тульской</w:t>
      </w:r>
      <w:r>
        <w:rPr>
          <w:rFonts w:ascii="PT Astra Serif" w:hAnsi="PT Astra Serif"/>
          <w:sz w:val="28"/>
        </w:rPr>
        <w:t xml:space="preserve"> области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администрация </w:t>
      </w:r>
      <w:r>
        <w:rPr>
          <w:rFonts w:ascii="PT Astra Serif" w:hAnsi="PT Astra Serif"/>
          <w:sz w:val="28"/>
        </w:rPr>
        <w:t>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</w:t>
      </w:r>
      <w:r>
        <w:rPr>
          <w:rFonts w:ascii="PT Astra Serif" w:hAnsi="PT Astra Serif"/>
          <w:sz w:val="28"/>
        </w:rPr>
        <w:t>ого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ПОСТАНОВЛЯЕТ:</w:t>
      </w:r>
    </w:p>
    <w:p w14:paraId="19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Внести в постановление администрации </w:t>
      </w:r>
      <w:r>
        <w:rPr>
          <w:rFonts w:ascii="PT Astra Serif" w:hAnsi="PT Astra Serif"/>
          <w:sz w:val="28"/>
        </w:rPr>
        <w:t>Щёкинского</w:t>
      </w:r>
      <w:r>
        <w:rPr>
          <w:rFonts w:ascii="PT Astra Serif" w:hAnsi="PT Astra Serif"/>
          <w:sz w:val="28"/>
        </w:rPr>
        <w:t xml:space="preserve"> района </w:t>
      </w:r>
      <w:r>
        <w:rPr>
          <w:rFonts w:ascii="PT Astra Serif" w:hAnsi="PT Astra Serif"/>
          <w:sz w:val="28"/>
        </w:rPr>
        <w:t xml:space="preserve">от 30.12.2015 № 12-1910 «Об утверждении Правил определения требований к закупаемым органами местного самоуправления муниципального образования Щёкинский район, отраслевыми (функциональными) органами администрации муниципального образования Щёкинский район, имеющими статус </w:t>
      </w:r>
      <w:r>
        <w:rPr>
          <w:rFonts w:ascii="PT Astra Serif" w:hAnsi="PT Astra Serif"/>
          <w:sz w:val="28"/>
        </w:rPr>
        <w:t>ю</w:t>
      </w:r>
      <w:r>
        <w:rPr>
          <w:rFonts w:ascii="PT Astra Serif" w:hAnsi="PT Astra Serif"/>
          <w:sz w:val="28"/>
        </w:rPr>
        <w:t xml:space="preserve">ридических лиц (включая подведомственные им казённые и бюджетные учреждения) отдельным видам товаров, работ, услуг (в том числе предельные цены товаров, работ, услуг) для обеспечения муниципальных </w:t>
      </w:r>
      <w:r>
        <w:rPr>
          <w:rFonts w:ascii="PT Astra Serif" w:hAnsi="PT Astra Serif"/>
          <w:sz w:val="28"/>
        </w:rPr>
        <w:t>нужд муниципального</w:t>
      </w:r>
      <w:r>
        <w:rPr>
          <w:rFonts w:ascii="PT Astra Serif" w:hAnsi="PT Astra Serif"/>
          <w:sz w:val="28"/>
        </w:rPr>
        <w:t xml:space="preserve"> образования Щёкинский район» </w:t>
      </w:r>
      <w:r>
        <w:rPr>
          <w:rFonts w:ascii="PT Astra Serif" w:hAnsi="PT Astra Serif"/>
          <w:sz w:val="28"/>
        </w:rPr>
        <w:t xml:space="preserve">(далее 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постановление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следующие изменения:</w:t>
      </w:r>
    </w:p>
    <w:p w14:paraId="1A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Изложить </w:t>
      </w:r>
      <w:r>
        <w:rPr>
          <w:rFonts w:ascii="PT Astra Serif" w:hAnsi="PT Astra Serif"/>
          <w:sz w:val="28"/>
        </w:rPr>
        <w:t>наименование</w:t>
      </w:r>
      <w:r>
        <w:rPr>
          <w:rFonts w:ascii="PT Astra Serif" w:hAnsi="PT Astra Serif"/>
          <w:sz w:val="28"/>
        </w:rPr>
        <w:t xml:space="preserve"> постановления в </w:t>
      </w:r>
      <w:r>
        <w:rPr>
          <w:rFonts w:ascii="PT Astra Serif" w:hAnsi="PT Astra Serif"/>
          <w:sz w:val="28"/>
        </w:rPr>
        <w:t>следующей</w:t>
      </w:r>
      <w:r>
        <w:rPr>
          <w:rFonts w:ascii="PT Astra Serif" w:hAnsi="PT Astra Serif"/>
          <w:sz w:val="28"/>
        </w:rPr>
        <w:t xml:space="preserve"> редакции: </w:t>
      </w:r>
      <w:r>
        <w:rPr>
          <w:rFonts w:ascii="PT Astra Serif" w:hAnsi="PT Astra Serif"/>
          <w:sz w:val="28"/>
        </w:rPr>
        <w:t xml:space="preserve">«Об утверждении Правил определения требований к закупаемым органами местного самоуправления муниципального образования Щёкинский район, отраслевыми (функциональными) органами администрации муниципального образования Щёкинский район, имеющими статус юридических лиц (включая подведомственные им казённые и бюджетные учреждения) отдельным видам товаров, работ, услуг (в том числе предельные цены товаров, работ, услуг) для обеспечения муниципальных нужд муниципального образования Щёкинский район и муниципального образования город </w:t>
      </w:r>
      <w:r>
        <w:rPr>
          <w:rFonts w:ascii="PT Astra Serif" w:hAnsi="PT Astra Serif"/>
          <w:sz w:val="28"/>
        </w:rPr>
        <w:t>Щёкино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Щёкинского</w:t>
      </w:r>
      <w:r>
        <w:rPr>
          <w:rFonts w:ascii="PT Astra Serif" w:hAnsi="PT Astra Serif"/>
          <w:sz w:val="28"/>
        </w:rPr>
        <w:t xml:space="preserve"> района»</w:t>
      </w:r>
      <w:r>
        <w:rPr>
          <w:rFonts w:ascii="PT Astra Serif" w:hAnsi="PT Astra Serif"/>
          <w:sz w:val="28"/>
        </w:rPr>
        <w:t>;</w:t>
      </w:r>
    </w:p>
    <w:p w14:paraId="1B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>зложи</w:t>
      </w:r>
      <w:r>
        <w:rPr>
          <w:rFonts w:ascii="PT Astra Serif" w:hAnsi="PT Astra Serif"/>
          <w:sz w:val="28"/>
        </w:rPr>
        <w:t>ть</w:t>
      </w:r>
      <w:r>
        <w:rPr>
          <w:rFonts w:ascii="PT Astra Serif" w:hAnsi="PT Astra Serif"/>
          <w:sz w:val="28"/>
        </w:rPr>
        <w:t xml:space="preserve"> приложение в новой редакции (приложение</w:t>
      </w:r>
      <w:r>
        <w:rPr>
          <w:rFonts w:ascii="PT Astra Serif" w:hAnsi="PT Astra Serif"/>
          <w:sz w:val="28"/>
        </w:rPr>
        <w:t>).</w:t>
      </w:r>
    </w:p>
    <w:p w14:paraId="1C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Установить, что по решению руководителей </w:t>
      </w:r>
      <w:r>
        <w:rPr>
          <w:rFonts w:ascii="PT Astra Serif" w:hAnsi="PT Astra Serif"/>
          <w:sz w:val="28"/>
        </w:rPr>
        <w:t xml:space="preserve">отраслевых (функциональных) органов администрации, подведомственных казенных </w:t>
      </w:r>
      <w:r>
        <w:rPr>
          <w:rFonts w:ascii="PT Astra Serif" w:hAnsi="PT Astra Serif"/>
          <w:sz w:val="28"/>
        </w:rPr>
        <w:t xml:space="preserve">и бюджетных </w:t>
      </w:r>
      <w:r>
        <w:rPr>
          <w:rFonts w:ascii="PT Astra Serif" w:hAnsi="PT Astra Serif"/>
          <w:sz w:val="28"/>
        </w:rPr>
        <w:t>учреждений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установленные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предусмотренном приложением 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к </w:t>
      </w:r>
      <w:r>
        <w:rPr>
          <w:rFonts w:ascii="PT Astra Serif" w:hAnsi="PT Astra Serif"/>
          <w:sz w:val="28"/>
        </w:rPr>
        <w:t>Правилам</w:t>
      </w:r>
      <w:r>
        <w:rPr>
          <w:rFonts w:ascii="PT Astra Serif" w:hAnsi="PT Astra Serif"/>
          <w:sz w:val="28"/>
        </w:rPr>
        <w:t>, размеры предельных цен товаров, за исключением автомобилей легковых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средств автотранспортных для перевозки 10 или более человек, автомобилей грузовых, и услуг при составлении ведомственного перечня могут быть определены путем умножения на индекс потребительских цен на товары и услуги по данным Федеральной службы государственной статистики за период действия указанных предельных цен, а размеры предельных цен автомобилей легковых, средств автотранспортных для перевозки 10 или более человек, автомобилей грузовых - не более чем</w:t>
      </w:r>
      <w:r>
        <w:rPr>
          <w:rFonts w:ascii="PT Astra Serif" w:hAnsi="PT Astra Serif"/>
          <w:sz w:val="28"/>
        </w:rPr>
        <w:t xml:space="preserve"> на индекс потребительских </w:t>
      </w:r>
      <w:r>
        <w:rPr>
          <w:rFonts w:ascii="PT Astra Serif" w:hAnsi="PT Astra Serif"/>
          <w:sz w:val="28"/>
        </w:rPr>
        <w:t>цен</w:t>
      </w:r>
      <w:r>
        <w:rPr>
          <w:rFonts w:ascii="PT Astra Serif" w:hAnsi="PT Astra Serif"/>
          <w:sz w:val="28"/>
        </w:rPr>
        <w:t xml:space="preserve"> на легковой автомобиль (отечественный, новый) по данным Федеральной службы государственной статистики за период действия указанных предельных цен.</w:t>
      </w:r>
    </w:p>
    <w:p w14:paraId="1D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Установить, что в целях применения настоящего Постановления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в том числе </w:t>
      </w:r>
      <w:r>
        <w:rPr>
          <w:rFonts w:ascii="PT Astra Serif" w:hAnsi="PT Astra Serif"/>
          <w:sz w:val="28"/>
        </w:rPr>
        <w:t xml:space="preserve">относятся </w:t>
      </w:r>
      <w:r>
        <w:rPr>
          <w:rFonts w:ascii="PT Astra Serif" w:hAnsi="PT Astra Serif"/>
          <w:sz w:val="28"/>
        </w:rPr>
        <w:t>отраслевые (функциональные) органы администрации муниципального образования Щёкинский район</w:t>
      </w:r>
      <w:r>
        <w:rPr>
          <w:rFonts w:ascii="PT Astra Serif" w:hAnsi="PT Astra Serif"/>
          <w:sz w:val="28"/>
        </w:rPr>
        <w:t>, являющиеся главными распорядителями бюджетных средств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муниципального образования Щёкинский район</w:t>
      </w:r>
      <w:r>
        <w:rPr>
          <w:rFonts w:ascii="PT Astra Serif" w:hAnsi="PT Astra Serif"/>
          <w:sz w:val="28"/>
        </w:rPr>
        <w:t xml:space="preserve"> и муниципального образования город </w:t>
      </w:r>
      <w:r>
        <w:rPr>
          <w:rFonts w:ascii="PT Astra Serif" w:hAnsi="PT Astra Serif"/>
          <w:sz w:val="28"/>
        </w:rPr>
        <w:t>Щёкино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Щёкинского</w:t>
      </w:r>
      <w:r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.</w:t>
      </w:r>
    </w:p>
    <w:p w14:paraId="1E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Отраслевым (функциональным) органам администрации </w:t>
      </w:r>
      <w:r>
        <w:rPr>
          <w:rFonts w:ascii="PT Astra Serif" w:hAnsi="PT Astra Serif"/>
          <w:sz w:val="28"/>
        </w:rPr>
        <w:t>Щёкинск</w:t>
      </w:r>
      <w:r>
        <w:rPr>
          <w:rFonts w:ascii="PT Astra Serif" w:hAnsi="PT Astra Serif"/>
          <w:sz w:val="28"/>
        </w:rPr>
        <w:t>ого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 xml:space="preserve">, имеющим статус юридических лиц, разработать на основании Правил, утвержденных настоящим постановлением, и утвердить в </w:t>
      </w:r>
      <w:r>
        <w:rPr>
          <w:rFonts w:ascii="PT Astra Serif" w:hAnsi="PT Astra Serif"/>
          <w:sz w:val="28"/>
        </w:rPr>
        <w:t xml:space="preserve">срок до </w:t>
      </w:r>
      <w:r>
        <w:rPr>
          <w:rFonts w:ascii="PT Astra Serif" w:hAnsi="PT Astra Serif"/>
          <w:sz w:val="28"/>
        </w:rPr>
        <w:t>01.10.2026</w:t>
      </w:r>
      <w:r>
        <w:rPr>
          <w:rFonts w:ascii="PT Astra Serif" w:hAnsi="PT Astra Serif"/>
          <w:sz w:val="28"/>
        </w:rPr>
        <w:t xml:space="preserve"> требования к отдельным видам товаров, работ, услуг (в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том числе предельные цены товаров, работ, услуг):</w:t>
      </w:r>
    </w:p>
    <w:p w14:paraId="1F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закупаемых</w:t>
      </w:r>
      <w:r>
        <w:rPr>
          <w:rFonts w:ascii="PT Astra Serif" w:hAnsi="PT Astra Serif"/>
          <w:sz w:val="28"/>
        </w:rPr>
        <w:t xml:space="preserve"> ими и подведомственными казёнными и бюджетными учреждениями; </w:t>
      </w:r>
    </w:p>
    <w:p w14:paraId="20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закупаемых подведомственными им автономными учреждениями </w:t>
      </w:r>
      <w:r>
        <w:rPr>
          <w:rFonts w:ascii="PT Astra Serif" w:hAnsi="PT Astra Serif"/>
          <w:spacing w:val="-2"/>
          <w:sz w:val="28"/>
        </w:rPr>
        <w:t>(при наличии) и муниципальными унитарными предприятиями (при наличии)</w:t>
      </w:r>
      <w:r>
        <w:rPr>
          <w:rFonts w:ascii="PT Astra Serif" w:hAnsi="PT Astra Serif"/>
          <w:sz w:val="28"/>
        </w:rPr>
        <w:t xml:space="preserve"> в части товаров, работ, услуг, финансовое обеспечение закупок которых осуществляется за счет предоставленных из местного бюджета субсидий на осуществление капитальных вложений в случаях осуществления закупок в соответствии с частью 4 статьи 15 Федерального закона от 5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апреля 2013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года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44-ФЗ «О контрактной системе в сфере закупок</w:t>
      </w:r>
      <w:r>
        <w:rPr>
          <w:rFonts w:ascii="PT Astra Serif" w:hAnsi="PT Astra Serif"/>
          <w:sz w:val="28"/>
        </w:rPr>
        <w:t xml:space="preserve"> товаров, работ, услуг для обеспечения государственных и муниципальных нужд».</w:t>
      </w:r>
    </w:p>
    <w:p w14:paraId="21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кинский муниципальный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кинский район.</w:t>
      </w:r>
    </w:p>
    <w:p w14:paraId="22000000">
      <w:pPr>
        <w:widowControl w:val="1"/>
        <w:spacing w:line="360" w:lineRule="exact"/>
        <w:ind w:firstLine="709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Настоящее постановление вступает в силу со дня официального обнародования.</w:t>
      </w:r>
    </w:p>
    <w:p w14:paraId="23000000">
      <w:pPr>
        <w:rPr>
          <w:rFonts w:ascii="PT Astra Serif" w:hAnsi="PT Astra Serif"/>
        </w:rPr>
      </w:pPr>
    </w:p>
    <w:p w14:paraId="24000000">
      <w:pPr>
        <w:rPr>
          <w:rFonts w:ascii="PT Astra Serif" w:hAnsi="PT Astra Serif"/>
        </w:rPr>
      </w:pPr>
    </w:p>
    <w:p w14:paraId="25000000">
      <w:pPr>
        <w:rPr>
          <w:rFonts w:ascii="PT Astra Serif" w:hAnsi="PT Astra Serif"/>
        </w:rPr>
      </w:pPr>
    </w:p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pStyle w:val="Style_5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 xml:space="preserve">Щёкинский </w:t>
            </w:r>
            <w:r>
              <w:rPr>
                <w:rFonts w:ascii="PT Astra Serif" w:hAnsi="PT Astra Serif"/>
                <w:b w:val="1"/>
                <w:sz w:val="28"/>
              </w:rPr>
              <w:t>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7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8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9000000">
      <w:pPr>
        <w:rPr>
          <w:rFonts w:ascii="PT Astra Serif" w:hAnsi="PT Astra Serif"/>
          <w:sz w:val="4"/>
        </w:rPr>
      </w:pPr>
    </w:p>
    <w:p w14:paraId="2A000000">
      <w:pPr>
        <w:sectPr>
          <w:headerReference r:id="rId3" w:type="default"/>
          <w:pgSz w:h="16838" w:orient="portrait" w:w="11906"/>
          <w:pgMar w:bottom="1134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D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0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08.10.2026 № 10 – 1660</w:t>
            </w:r>
          </w:p>
        </w:tc>
      </w:tr>
      <w:tr>
        <w:trPr>
          <w:trHeight w:hRule="atLeast" w:val="283"/>
        </w:trPr>
        <w:tc>
          <w:tcPr>
            <w:tcW w:type="dxa" w:w="4482"/>
          </w:tcPr>
          <w:p w14:paraId="3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3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33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3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3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Щёкинский район</w:t>
            </w:r>
          </w:p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30.12.2015 № 12</w:t>
            </w:r>
            <w:r>
              <w:rPr>
                <w:rFonts w:ascii="PT Astra Serif" w:hAnsi="PT Astra Serif"/>
                <w:sz w:val="28"/>
              </w:rPr>
              <w:t xml:space="preserve"> – </w:t>
            </w:r>
            <w:r>
              <w:rPr>
                <w:rFonts w:ascii="PT Astra Serif" w:hAnsi="PT Astra Serif"/>
                <w:sz w:val="28"/>
              </w:rPr>
              <w:t>1910</w:t>
            </w:r>
          </w:p>
        </w:tc>
      </w:tr>
    </w:tbl>
    <w:p w14:paraId="37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38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</w:t>
      </w:r>
      <w:r>
        <w:rPr>
          <w:rFonts w:ascii="PT Astra Serif" w:hAnsi="PT Astra Serif"/>
          <w:b w:val="1"/>
          <w:sz w:val="28"/>
        </w:rPr>
        <w:t xml:space="preserve"> Р А В И Л А</w:t>
      </w:r>
    </w:p>
    <w:p w14:paraId="3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определения требований к </w:t>
      </w:r>
      <w:r>
        <w:rPr>
          <w:rFonts w:ascii="PT Astra Serif" w:hAnsi="PT Astra Serif"/>
          <w:b w:val="1"/>
          <w:sz w:val="28"/>
        </w:rPr>
        <w:t>закупаемым</w:t>
      </w:r>
      <w:r>
        <w:rPr>
          <w:rFonts w:ascii="PT Astra Serif" w:hAnsi="PT Astra Serif"/>
          <w:b w:val="1"/>
          <w:sz w:val="28"/>
        </w:rPr>
        <w:t xml:space="preserve"> органами местного самоуправления </w:t>
      </w:r>
      <w:r>
        <w:rPr>
          <w:rFonts w:ascii="PT Astra Serif" w:hAnsi="PT Astra Serif"/>
          <w:b w:val="1"/>
          <w:sz w:val="28"/>
        </w:rPr>
        <w:t>муниципального образования Щ</w:t>
      </w:r>
      <w:r>
        <w:rPr>
          <w:rFonts w:ascii="PT Astra Serif" w:hAnsi="PT Astra Serif"/>
          <w:b w:val="1"/>
          <w:sz w:val="28"/>
        </w:rPr>
        <w:t>ё</w:t>
      </w:r>
      <w:r>
        <w:rPr>
          <w:rFonts w:ascii="PT Astra Serif" w:hAnsi="PT Astra Serif"/>
          <w:b w:val="1"/>
          <w:sz w:val="28"/>
        </w:rPr>
        <w:t xml:space="preserve">кинский </w:t>
      </w:r>
    </w:p>
    <w:p w14:paraId="3A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район</w:t>
      </w:r>
      <w:r>
        <w:rPr>
          <w:rFonts w:ascii="PT Astra Serif" w:hAnsi="PT Astra Serif"/>
          <w:b w:val="1"/>
          <w:sz w:val="28"/>
        </w:rPr>
        <w:t>,</w:t>
      </w:r>
      <w:r>
        <w:rPr>
          <w:rFonts w:ascii="PT Astra Serif" w:hAnsi="PT Astra Serif"/>
          <w:b w:val="1"/>
          <w:sz w:val="28"/>
        </w:rPr>
        <w:t xml:space="preserve"> отраслевыми (функциональными) органами администрации муниципального образования Щ</w:t>
      </w:r>
      <w:r>
        <w:rPr>
          <w:rFonts w:ascii="PT Astra Serif" w:hAnsi="PT Astra Serif"/>
          <w:b w:val="1"/>
          <w:sz w:val="28"/>
        </w:rPr>
        <w:t>ё</w:t>
      </w:r>
      <w:r>
        <w:rPr>
          <w:rFonts w:ascii="PT Astra Serif" w:hAnsi="PT Astra Serif"/>
          <w:b w:val="1"/>
          <w:sz w:val="28"/>
        </w:rPr>
        <w:t>кинский район, имеющими статус юридических лиц</w:t>
      </w:r>
      <w:r>
        <w:rPr>
          <w:rFonts w:ascii="PT Astra Serif" w:hAnsi="PT Astra Serif"/>
          <w:b w:val="1"/>
          <w:sz w:val="28"/>
        </w:rPr>
        <w:t xml:space="preserve"> (включая подведомственные им казённые и бюджетные учреждения)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отдельным видам товаров, работ, услуг </w:t>
      </w:r>
    </w:p>
    <w:p w14:paraId="3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(в том числе предельные цены товаров, работ, услуг) для обеспечения муниципальных нужд муниципального образования</w:t>
      </w:r>
    </w:p>
    <w:p w14:paraId="3C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Щ</w:t>
      </w:r>
      <w:r>
        <w:rPr>
          <w:rFonts w:ascii="PT Astra Serif" w:hAnsi="PT Astra Serif"/>
          <w:b w:val="1"/>
          <w:sz w:val="28"/>
        </w:rPr>
        <w:t>ё</w:t>
      </w:r>
      <w:r>
        <w:rPr>
          <w:rFonts w:ascii="PT Astra Serif" w:hAnsi="PT Astra Serif"/>
          <w:b w:val="1"/>
          <w:sz w:val="28"/>
        </w:rPr>
        <w:t>кинский район</w:t>
      </w:r>
      <w:r>
        <w:rPr>
          <w:rFonts w:ascii="PT Astra Serif" w:hAnsi="PT Astra Serif"/>
          <w:b w:val="1"/>
          <w:sz w:val="28"/>
        </w:rPr>
        <w:t xml:space="preserve"> и муниципального образования</w:t>
      </w:r>
    </w:p>
    <w:p w14:paraId="3D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город </w:t>
      </w:r>
      <w:r>
        <w:rPr>
          <w:rFonts w:ascii="PT Astra Serif" w:hAnsi="PT Astra Serif"/>
          <w:b w:val="1"/>
          <w:sz w:val="28"/>
        </w:rPr>
        <w:t>Щёкино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Щёкинского</w:t>
      </w:r>
      <w:r>
        <w:rPr>
          <w:rFonts w:ascii="PT Astra Serif" w:hAnsi="PT Astra Serif"/>
          <w:b w:val="1"/>
          <w:sz w:val="28"/>
        </w:rPr>
        <w:t xml:space="preserve"> района</w:t>
      </w:r>
    </w:p>
    <w:p w14:paraId="3E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</w:p>
    <w:p w14:paraId="3F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Настоящие Правила устанавливают:</w:t>
      </w:r>
    </w:p>
    <w:p w14:paraId="40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порядок определения требований к закупаемым органами местного самоуправления муниципального образования 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кинский район, отраслевыми (функциональными) органами администрац</w:t>
      </w:r>
      <w:r>
        <w:rPr>
          <w:rFonts w:ascii="PT Astra Serif" w:hAnsi="PT Astra Serif"/>
          <w:sz w:val="28"/>
        </w:rPr>
        <w:t>ии муниципального образования Щё</w:t>
      </w:r>
      <w:r>
        <w:rPr>
          <w:rFonts w:ascii="PT Astra Serif" w:hAnsi="PT Astra Serif"/>
          <w:sz w:val="28"/>
        </w:rPr>
        <w:t>кинский район, имеющими статус юридических лиц (далее по тексту – муниципальные субъекты нормирования) (включая подведомственные им казённые и бюджетные учреждения) отдельным видам товаров, работ, услуг (в том числе предельные цены товаров, работ, услуг) для обеспечения муниципальных нужд муниципального образования 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кинский район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и муниципального</w:t>
      </w:r>
      <w:r>
        <w:rPr>
          <w:rFonts w:ascii="PT Astra Serif" w:hAnsi="PT Astra Serif"/>
          <w:sz w:val="28"/>
        </w:rPr>
        <w:t xml:space="preserve"> образования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город </w:t>
      </w:r>
      <w:r>
        <w:rPr>
          <w:rFonts w:ascii="PT Astra Serif" w:hAnsi="PT Astra Serif"/>
          <w:sz w:val="28"/>
        </w:rPr>
        <w:t>Щёкино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Щёкинского</w:t>
      </w:r>
      <w:r>
        <w:rPr>
          <w:rFonts w:ascii="PT Astra Serif" w:hAnsi="PT Astra Serif"/>
          <w:sz w:val="28"/>
        </w:rPr>
        <w:t xml:space="preserve"> района. Под видом товаров, работ, услуг в целях настоящих Правил понимаются виды товаров, работ, услуг, включенные в группировки Общероссийского классификатора продукции по видам экономической деятельности с 5 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 xml:space="preserve"> 9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разрядными кодами;</w:t>
      </w:r>
    </w:p>
    <w:p w14:paraId="41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обязательный перечень отдельных видов товаров, работ, услуг, их потребительские свойства и иные характеристики, а так же значения таких свойств и характеристик (в том числе предельные цены товаров, работ, услуг)</w:t>
      </w:r>
      <w:r>
        <w:rPr>
          <w:rFonts w:ascii="PT Astra Serif" w:hAnsi="PT Astra Serif"/>
          <w:sz w:val="28"/>
        </w:rPr>
        <w:t xml:space="preserve"> (далее – обязательный перечень) </w:t>
      </w:r>
      <w:r>
        <w:rPr>
          <w:rFonts w:ascii="PT Astra Serif" w:hAnsi="PT Astra Serif"/>
          <w:sz w:val="28"/>
        </w:rPr>
        <w:t xml:space="preserve">(приложение </w:t>
      </w:r>
      <w:r>
        <w:rPr>
          <w:rFonts w:ascii="PT Astra Serif" w:hAnsi="PT Astra Serif"/>
          <w:sz w:val="28"/>
        </w:rPr>
        <w:t xml:space="preserve">№ </w:t>
      </w:r>
      <w:r>
        <w:rPr>
          <w:rFonts w:ascii="PT Astra Serif" w:hAnsi="PT Astra Serif"/>
          <w:sz w:val="28"/>
        </w:rPr>
        <w:t>1 к настоящим Правилам);</w:t>
      </w:r>
    </w:p>
    <w:p w14:paraId="42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порядок формирования и ведения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- ведомственный перечень), а также форму ведомственного перечня (приложение N 2 к настоящим Правилам).</w:t>
      </w:r>
    </w:p>
    <w:p w14:paraId="43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Муниципальные субъекты нормирования в соответствии с настоящими Правилами утверждают требования, не включённые в обязательный перечень, к закупаемым ими и подведомственными им казёнными и бюджетными учреждениями отдельным видам товаров, работ, услуг (в том числе предельные цены товаров, работ, услуг) по форме ведомственного перечня согласно приложению № 2 </w:t>
      </w:r>
      <w:r>
        <w:rPr>
          <w:rFonts w:ascii="PT Astra Serif" w:hAnsi="PT Astra Serif"/>
          <w:sz w:val="28"/>
        </w:rPr>
        <w:t>к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настоящим</w:t>
      </w:r>
      <w:r>
        <w:rPr>
          <w:rFonts w:ascii="PT Astra Serif" w:hAnsi="PT Astra Serif"/>
          <w:sz w:val="28"/>
        </w:rPr>
        <w:t xml:space="preserve"> Правилам. </w:t>
      </w:r>
    </w:p>
    <w:p w14:paraId="44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отношении отдельных видов товаров, работ, услуг, включенных в обязательный перечень, в ведомственном перечне должны быть определены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 </w:t>
      </w:r>
    </w:p>
    <w:p w14:paraId="45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</w:t>
      </w:r>
      <w:r>
        <w:rPr>
          <w:rFonts w:ascii="PT Astra Serif" w:hAnsi="PT Astra Serif"/>
          <w:sz w:val="28"/>
        </w:rPr>
        <w:t>двадцать</w:t>
      </w:r>
      <w:r>
        <w:rPr>
          <w:rFonts w:ascii="PT Astra Serif" w:hAnsi="PT Astra Serif"/>
          <w:sz w:val="28"/>
        </w:rPr>
        <w:t xml:space="preserve"> процентов:</w:t>
      </w:r>
    </w:p>
    <w:p w14:paraId="46000000">
      <w:pPr>
        <w:pStyle w:val="Style_3"/>
        <w:widowControl w:val="0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доля оплаты по отдельному виду товаров, работ, услуг для обеспечения нужд муниципального субъекта нормирования и подведомственных ему казённых и бюджетных учреждений за отчетный финансовый год (в соответствии с графиками платежей) по контрактам, информация о которых включена в реестр контрактов, заключенных </w:t>
      </w:r>
      <w:r>
        <w:rPr>
          <w:rFonts w:ascii="PT Astra Serif" w:hAnsi="PT Astra Serif"/>
          <w:sz w:val="28"/>
        </w:rPr>
        <w:t>муниципальными субъектами нормирования и подведомственными им казёнными и бюджетными учреждениями</w:t>
      </w:r>
      <w:r>
        <w:rPr>
          <w:rFonts w:ascii="PT Astra Serif" w:hAnsi="PT Astra Serif"/>
          <w:sz w:val="28"/>
        </w:rPr>
        <w:t>, и реестр контрактов, содержащих сведения, составляющие государственную тайну, в общем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объеме</w:t>
      </w:r>
      <w:r>
        <w:rPr>
          <w:rFonts w:ascii="PT Astra Serif" w:hAnsi="PT Astra Serif"/>
          <w:sz w:val="28"/>
        </w:rPr>
        <w:t xml:space="preserve"> оплаты по контрактам, включенным в указанные реестры (по графикам платежей), заключенным соответствующими </w:t>
      </w:r>
      <w:r>
        <w:rPr>
          <w:rFonts w:ascii="PT Astra Serif" w:hAnsi="PT Astra Serif"/>
          <w:sz w:val="28"/>
        </w:rPr>
        <w:t>муниципальными субъектами нормирования и подведомственными им казёнными и бюджетными учреждениями</w:t>
      </w:r>
      <w:r>
        <w:rPr>
          <w:rFonts w:ascii="PT Astra Serif" w:hAnsi="PT Astra Serif"/>
          <w:sz w:val="28"/>
        </w:rPr>
        <w:t>;</w:t>
      </w:r>
    </w:p>
    <w:p w14:paraId="47000000">
      <w:pPr>
        <w:widowControl w:val="0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 доля контрактов на закупку отдельных видов товаров, работ, услуг муниципального субъекта нормирования и подведомственных ему казённых и бюджетных учреждений, заключенных в отчетном финансовом году, в общем количестве контрактов муниципального субъекта нормирования и подведомственных ему казённых и бюджетных учреждений на приобретение товаров, работ, услуг, заключенных в отчетном финансовом году.</w:t>
      </w:r>
    </w:p>
    <w:p w14:paraId="48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Муниципальные субъекты нормирования при </w:t>
      </w:r>
      <w:bookmarkStart w:id="1" w:name="Par4"/>
      <w:bookmarkEnd w:id="1"/>
      <w:r>
        <w:rPr>
          <w:rFonts w:ascii="PT Astra Serif" w:hAnsi="PT Astra Serif"/>
          <w:sz w:val="28"/>
        </w:rPr>
        <w:t xml:space="preserve">включении в ведомственный перечень отдельных видов товаров, работ, услуг, не </w:t>
      </w:r>
      <w:r>
        <w:rPr>
          <w:rFonts w:ascii="PT Astra Serif" w:hAnsi="PT Astra Serif"/>
          <w:sz w:val="28"/>
        </w:rPr>
        <w:t xml:space="preserve">указанных в обязательном перечне, применяют установленные 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begin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instrText>HYPERLINK "file://///10.17.12.5/муниципальный%20заказ/Общая%20наша/БЛАНКИ/Нормирование/2026/пост%20утвержд%20Правил%20опред%20требований/Пост%2012-1910%20от%2030.12.2015.doc#Par4"</w:instrTex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separate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t>пунктом</w:t>
      </w:r>
      <w:r>
        <w:rPr>
          <w:rStyle w:val="Style_6_ch"/>
          <w:rFonts w:ascii="PT Astra Serif" w:hAnsi="PT Astra Serif"/>
          <w:sz w:val="28"/>
          <w:u w:val="none"/>
        </w:rPr>
        <w:t xml:space="preserve"> 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end"/>
      </w: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 xml:space="preserve"> настоящ</w:t>
      </w:r>
      <w:r>
        <w:rPr>
          <w:rFonts w:ascii="PT Astra Serif" w:hAnsi="PT Astra Serif"/>
          <w:sz w:val="28"/>
        </w:rPr>
        <w:t xml:space="preserve">их Правил критерии, </w:t>
      </w:r>
      <w:r>
        <w:rPr>
          <w:rFonts w:ascii="PT Astra Serif" w:hAnsi="PT Astra Serif"/>
          <w:sz w:val="28"/>
        </w:rPr>
        <w:t>исходя из определения их значений в процентном отношении к объему осуществляемых муниципальными субъектами нормирования и подведомственными им казёнными и бюджетными учреждениями закупок.</w:t>
      </w:r>
    </w:p>
    <w:p w14:paraId="49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В целях формирования ведомственного перечня муниципальные субъекты нормирования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begin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instrText>HYPERLINK "file://///10.17.12.5/муниципальный%20заказ/Общая%20наша/БЛАНКИ/Нормирование/2026/пост%20утвержд%20Правил%20опред%20требований/Пост%2012-1910%20от%2030.12.2015.doc#Par4"</w:instrTex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separate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t>пунктом 3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end"/>
      </w:r>
      <w:r>
        <w:rPr>
          <w:rFonts w:ascii="PT Astra Serif" w:hAnsi="PT Astra Serif"/>
          <w:sz w:val="28"/>
        </w:rPr>
        <w:t xml:space="preserve"> настоящих Правил.</w:t>
      </w:r>
    </w:p>
    <w:p w14:paraId="4A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Муниципальные субъекты нормирования при формировании ведомственного перечня вправе включить в него дополнительно:</w:t>
      </w:r>
    </w:p>
    <w:p w14:paraId="4B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z w:val="28"/>
        </w:rPr>
        <w:t xml:space="preserve">) отдельные виды товаров, работ, услуг, не указанные в обязательном перечне и не соответствующие критериям, указанным в 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begin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instrText>HYPERLINK "file://///10.17.12.5/муниципальный%20заказ/Общая%20наша/БЛАНКИ/Нормирование/2026/пост%20утвержд%20Правил%20опред%20требований/Пост%2012-1910%20от%2030.12.2015.doc#Par4"</w:instrTex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separate"/>
      </w:r>
      <w:r>
        <w:rPr>
          <w:rStyle w:val="Style_6_ch"/>
          <w:rFonts w:ascii="PT Astra Serif" w:hAnsi="PT Astra Serif"/>
          <w:color w:val="000000"/>
          <w:sz w:val="28"/>
          <w:u w:val="none"/>
        </w:rPr>
        <w:t>пункте 3</w:t>
      </w:r>
      <w:r>
        <w:rPr>
          <w:rStyle w:val="Style_6_ch"/>
          <w:rFonts w:ascii="PT Astra Serif" w:hAnsi="PT Astra Serif"/>
          <w:color w:val="000000"/>
          <w:sz w:val="28"/>
          <w:u w:val="none"/>
        </w:rPr>
        <w:fldChar w:fldCharType="end"/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настоящих Правил;</w:t>
      </w:r>
    </w:p>
    <w:p w14:paraId="4C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14:paraId="4D000000">
      <w:pPr>
        <w:widowControl w:val="1"/>
        <w:spacing w:line="360" w:lineRule="exact"/>
        <w:ind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в том числе с учетом функционального назначения товара, под которым, для целей настоящих Правил,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</w:t>
      </w:r>
      <w:r>
        <w:rPr>
          <w:rFonts w:ascii="PT Astra Serif" w:hAnsi="PT Astra Serif"/>
          <w:sz w:val="28"/>
        </w:rPr>
        <w:t xml:space="preserve">, территориальные, климатические факторы и </w:t>
      </w:r>
      <w:r>
        <w:rPr>
          <w:rFonts w:ascii="PT Astra Serif" w:hAnsi="PT Astra Serif"/>
          <w:sz w:val="28"/>
        </w:rPr>
        <w:t>другое</w:t>
      </w:r>
      <w:r>
        <w:rPr>
          <w:rFonts w:ascii="PT Astra Serif" w:hAnsi="PT Astra Serif"/>
          <w:sz w:val="28"/>
        </w:rPr>
        <w:t>).</w:t>
      </w:r>
    </w:p>
    <w:p w14:paraId="4E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</w:t>
      </w:r>
      <w:r>
        <w:rPr>
          <w:rFonts w:ascii="PT Astra Serif" w:hAnsi="PT Astra Serif"/>
          <w:sz w:val="28"/>
        </w:rPr>
        <w:t xml:space="preserve"> (далее – значения)</w:t>
      </w:r>
      <w:r>
        <w:rPr>
          <w:rFonts w:ascii="PT Astra Serif" w:hAnsi="PT Astra Serif"/>
          <w:sz w:val="28"/>
        </w:rPr>
        <w:t>, устанавливаются</w:t>
      </w:r>
      <w:r>
        <w:rPr>
          <w:rFonts w:ascii="PT Astra Serif" w:hAnsi="PT Astra Serif"/>
          <w:sz w:val="28"/>
        </w:rPr>
        <w:t xml:space="preserve"> с учетом следующих требований</w:t>
      </w:r>
      <w:r>
        <w:rPr>
          <w:rFonts w:ascii="PT Astra Serif" w:hAnsi="PT Astra Serif"/>
          <w:sz w:val="28"/>
        </w:rPr>
        <w:t>:</w:t>
      </w:r>
    </w:p>
    <w:p w14:paraId="4F000000">
      <w:pPr>
        <w:pStyle w:val="Style_3"/>
        <w:widowControl w:val="0"/>
        <w:numPr>
          <w:ilvl w:val="0"/>
          <w:numId w:val="1"/>
        </w:numPr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измерения;</w:t>
      </w:r>
    </w:p>
    <w:p w14:paraId="50000000">
      <w:pPr>
        <w:widowControl w:val="0"/>
        <w:numPr>
          <w:ilvl w:val="0"/>
          <w:numId w:val="1"/>
        </w:numPr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если затраты на приобретение отдельных видов товаров, работ, услуг в соответствии с Правилами </w:t>
      </w:r>
      <w:r>
        <w:rPr>
          <w:rFonts w:ascii="PT Astra Serif" w:hAnsi="PT Astra Serif"/>
          <w:sz w:val="28"/>
        </w:rPr>
        <w:t>определения нормативных затрат на обеспечение функций органов местного самоуправления муниципального образования 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кинский район, отраслевых (функциональных) органов администрации муниципального образования Щ</w:t>
      </w:r>
      <w:r>
        <w:rPr>
          <w:rFonts w:ascii="PT Astra Serif" w:hAnsi="PT Astra Serif"/>
          <w:sz w:val="28"/>
        </w:rPr>
        <w:t>ё</w:t>
      </w:r>
      <w:r>
        <w:rPr>
          <w:rFonts w:ascii="PT Astra Serif" w:hAnsi="PT Astra Serif"/>
          <w:sz w:val="28"/>
        </w:rPr>
        <w:t>кинский район, имеющих статус юридических лиц (включая подведомственные им казенные и бюджетные учреждения)</w:t>
      </w:r>
      <w:r>
        <w:rPr>
          <w:rFonts w:ascii="PT Astra Serif" w:hAnsi="PT Astra Serif"/>
          <w:sz w:val="28"/>
        </w:rPr>
        <w:t xml:space="preserve">, утвержденными Постановлением </w:t>
      </w:r>
      <w:r>
        <w:rPr>
          <w:rFonts w:ascii="PT Astra Serif" w:hAnsi="PT Astra Serif"/>
          <w:sz w:val="28"/>
        </w:rPr>
        <w:t xml:space="preserve">администрации </w:t>
      </w:r>
      <w:r>
        <w:rPr>
          <w:rFonts w:ascii="PT Astra Serif" w:hAnsi="PT Astra Serif"/>
          <w:sz w:val="28"/>
        </w:rPr>
        <w:t>Щёкинского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района </w:t>
      </w:r>
      <w:r>
        <w:rPr>
          <w:rFonts w:ascii="PT Astra Serif" w:hAnsi="PT Astra Serif"/>
          <w:sz w:val="28"/>
        </w:rPr>
        <w:t xml:space="preserve">от 30.12.2015 № 12-1909 </w:t>
      </w:r>
      <w:r>
        <w:rPr>
          <w:rFonts w:ascii="PT Astra Serif" w:hAnsi="PT Astra Serif"/>
          <w:sz w:val="28"/>
        </w:rPr>
        <w:t>(далее - требования к определению нормативных затрат), определяются</w:t>
      </w:r>
      <w:r>
        <w:rPr>
          <w:rFonts w:ascii="PT Astra Serif" w:hAnsi="PT Astra Serif"/>
          <w:sz w:val="28"/>
        </w:rPr>
        <w:t xml:space="preserve"> с учетом категорий и (или) групп должностей работников, то значения устанавливаются с учетом категорий и (или) групп должностей работников </w:t>
      </w:r>
      <w:r>
        <w:rPr>
          <w:rFonts w:ascii="PT Astra Serif" w:hAnsi="PT Astra Serif"/>
          <w:sz w:val="28"/>
        </w:rPr>
        <w:t>муниципального субъекта нормирования и подведомственных ему казённых и бюджетных учреждений</w:t>
      </w:r>
      <w:r>
        <w:rPr>
          <w:rFonts w:ascii="PT Astra Serif" w:hAnsi="PT Astra Serif"/>
          <w:sz w:val="28"/>
        </w:rPr>
        <w:t>;</w:t>
      </w:r>
    </w:p>
    <w:p w14:paraId="51000000">
      <w:pPr>
        <w:widowControl w:val="0"/>
        <w:numPr>
          <w:ilvl w:val="0"/>
          <w:numId w:val="1"/>
        </w:numPr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если затраты на приобретение отдельных видов товаров, работ, услуг в соответствии с требованиями к определению нормативных затрат с учетом категорий и (или) групп должностей работников не определяются, то значения устанавливаются с учетом категорий и (или) групп должностей работников в случае принятия соответствующего решения </w:t>
      </w:r>
      <w:r>
        <w:rPr>
          <w:rFonts w:ascii="PT Astra Serif" w:hAnsi="PT Astra Serif"/>
          <w:sz w:val="28"/>
        </w:rPr>
        <w:t>муниципальным субъектом нормирования</w:t>
      </w:r>
      <w:r>
        <w:rPr>
          <w:rFonts w:ascii="PT Astra Serif" w:hAnsi="PT Astra Serif"/>
          <w:sz w:val="28"/>
        </w:rPr>
        <w:t>;</w:t>
      </w:r>
    </w:p>
    <w:p w14:paraId="52000000">
      <w:pPr>
        <w:widowControl w:val="0"/>
        <w:numPr>
          <w:ilvl w:val="0"/>
          <w:numId w:val="1"/>
        </w:numPr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включение значений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бензин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и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дизельное топливо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характеристики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вид топлива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автомобилей легковых, средств автотранспортных для перевозки 10 или более человек, автомобилей грузовых в ведомственный перечень осуществляется при условии обоснования в соответствующей графе формы, предусмотренной приложением 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 xml:space="preserve"> 1 к настоящим Правилам, невозможности использования значений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сжиженный природный газ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компримированный природный газ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смешанное топливо (дизельное топливо, компримированный природный газ или сжиженный природный газ)</w:t>
      </w:r>
      <w:r>
        <w:rPr>
          <w:rFonts w:ascii="PT Astra Serif" w:hAnsi="PT Astra Serif"/>
          <w:sz w:val="28"/>
        </w:rPr>
        <w:t>»</w:t>
      </w:r>
      <w:bookmarkStart w:id="2" w:name="_GoBack"/>
      <w:bookmarkEnd w:id="2"/>
      <w:r>
        <w:rPr>
          <w:rFonts w:ascii="PT Astra Serif" w:hAnsi="PT Astra Serif"/>
          <w:sz w:val="28"/>
        </w:rPr>
        <w:t>, в том числе в связи с отсутствием на территории планируемой эксплуатации закупаемых автомобилей легковых, средств автотранспортных для перевозки 10 или более человек, автомобилей грузовых действующих объектов газозаправочной инфраструктуры и (или) зарядной инфраструктуры для электрического автомобильного транспорта.</w:t>
      </w:r>
    </w:p>
    <w:p w14:paraId="53000000">
      <w:pPr>
        <w:pStyle w:val="Style_3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8.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Предельные цены товаров, работ, услуг устанавливаются в рублях в абсолютном денежном выражении (с точностью до 2-го знака после запятой). </w:t>
      </w:r>
    </w:p>
    <w:p w14:paraId="54000000">
      <w:pPr>
        <w:widowControl w:val="0"/>
        <w:spacing w:line="360" w:lineRule="exact"/>
        <w:ind w:firstLine="709" w:left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9.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Предельные цены товаров, работ, услуг, установленные муниципальными субъектами нормирования, не могут превышать предельные цены товаров, работ, услуг, установленные указанными субъектами при утверждении нормативных затрат на обеспечение функций муниципальных субъектов нормирования.</w:t>
      </w:r>
    </w:p>
    <w:p w14:paraId="55000000">
      <w:pPr>
        <w:widowControl w:val="1"/>
        <w:spacing w:line="360" w:lineRule="exact"/>
        <w:ind/>
        <w:rPr>
          <w:rFonts w:ascii="PT Astra Serif" w:hAnsi="PT Astra Serif"/>
          <w:sz w:val="28"/>
        </w:rPr>
      </w:pPr>
    </w:p>
    <w:p w14:paraId="56000000">
      <w:pPr>
        <w:widowControl w:val="1"/>
        <w:spacing w:line="360" w:lineRule="exact"/>
        <w:ind/>
        <w:rPr>
          <w:rFonts w:ascii="PT Astra Serif" w:hAnsi="PT Astra Serif"/>
          <w:sz w:val="28"/>
        </w:rPr>
      </w:pPr>
    </w:p>
    <w:p w14:paraId="57000000">
      <w:pPr>
        <w:widowControl w:val="1"/>
        <w:spacing w:line="360" w:lineRule="exact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</w:t>
      </w:r>
    </w:p>
    <w:p w14:paraId="58000000">
      <w:pPr>
        <w:widowControl w:val="1"/>
        <w:ind/>
        <w:jc w:val="right"/>
        <w:rPr>
          <w:rFonts w:ascii="PT Astra Serif" w:hAnsi="PT Astra Serif"/>
          <w:sz w:val="28"/>
        </w:rPr>
      </w:pPr>
    </w:p>
    <w:p w14:paraId="59000000">
      <w:pPr>
        <w:sectPr>
          <w:headerReference r:id="rId2" w:type="default"/>
          <w:pgSz w:h="16838" w:orient="portrait" w:w="11906"/>
          <w:pgMar w:bottom="709" w:footer="720" w:gutter="0" w:header="567" w:left="1701" w:right="850" w:top="935"/>
          <w:titlePg/>
        </w:sectPr>
      </w:pPr>
    </w:p>
    <w:tbl>
      <w:tblPr>
        <w:tblStyle w:val="Style_2"/>
        <w:tblW w:type="auto" w:w="0"/>
        <w:jc w:val="right"/>
        <w:tblInd w:type="dxa" w:w="4371"/>
        <w:tblLayout w:type="fixed"/>
      </w:tblPr>
      <w:tblGrid>
        <w:gridCol w:w="5181"/>
      </w:tblGrid>
      <w:tr>
        <w:trPr>
          <w:trHeight w:hRule="atLeast" w:val="1846"/>
        </w:trPr>
        <w:tc>
          <w:tcPr>
            <w:tcW w:type="dxa" w:w="5181"/>
          </w:tcPr>
          <w:p w14:paraId="5A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Приложение </w:t>
            </w:r>
            <w:r>
              <w:rPr>
                <w:rFonts w:ascii="PT Astra Serif" w:hAnsi="PT Astra Serif"/>
                <w:sz w:val="20"/>
              </w:rPr>
              <w:t xml:space="preserve">№ </w:t>
            </w:r>
            <w:r>
              <w:rPr>
                <w:rFonts w:ascii="PT Astra Serif" w:hAnsi="PT Astra Serif"/>
                <w:sz w:val="20"/>
              </w:rPr>
              <w:t>1</w:t>
            </w:r>
          </w:p>
          <w:p w14:paraId="5B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к Правилам определения требований</w:t>
            </w:r>
          </w:p>
          <w:p w14:paraId="5C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к </w:t>
            </w:r>
            <w:r>
              <w:rPr>
                <w:rFonts w:ascii="PT Astra Serif" w:hAnsi="PT Astra Serif"/>
                <w:sz w:val="20"/>
              </w:rPr>
              <w:t>закупаемым</w:t>
            </w:r>
            <w:r>
              <w:rPr>
                <w:rFonts w:ascii="PT Astra Serif" w:hAnsi="PT Astra Serif"/>
                <w:sz w:val="20"/>
              </w:rPr>
              <w:t xml:space="preserve"> органами местного самоуправления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муниципального образования Щ</w:t>
            </w:r>
            <w:r>
              <w:rPr>
                <w:rFonts w:ascii="PT Astra Serif" w:hAnsi="PT Astra Serif"/>
                <w:sz w:val="20"/>
              </w:rPr>
              <w:t>ё</w:t>
            </w:r>
            <w:r>
              <w:rPr>
                <w:rFonts w:ascii="PT Astra Serif" w:hAnsi="PT Astra Serif"/>
                <w:sz w:val="20"/>
              </w:rPr>
              <w:t>кинский район,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отраслевыми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(функциональными) органами</w:t>
            </w:r>
          </w:p>
          <w:p w14:paraId="5D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администрации муниципального образования</w:t>
            </w:r>
          </w:p>
          <w:p w14:paraId="5E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Щ</w:t>
            </w:r>
            <w:r>
              <w:rPr>
                <w:rFonts w:ascii="PT Astra Serif" w:hAnsi="PT Astra Serif"/>
                <w:sz w:val="20"/>
              </w:rPr>
              <w:t>ё</w:t>
            </w:r>
            <w:r>
              <w:rPr>
                <w:rFonts w:ascii="PT Astra Serif" w:hAnsi="PT Astra Serif"/>
                <w:sz w:val="20"/>
              </w:rPr>
              <w:t>ки</w:t>
            </w:r>
            <w:r>
              <w:rPr>
                <w:rFonts w:ascii="PT Astra Serif" w:hAnsi="PT Astra Serif"/>
                <w:sz w:val="20"/>
              </w:rPr>
              <w:t xml:space="preserve">нский район, </w:t>
            </w:r>
            <w:r>
              <w:rPr>
                <w:rFonts w:ascii="PT Astra Serif" w:hAnsi="PT Astra Serif"/>
                <w:sz w:val="20"/>
              </w:rPr>
              <w:t>имеющими</w:t>
            </w:r>
            <w:r>
              <w:rPr>
                <w:rFonts w:ascii="PT Astra Serif" w:hAnsi="PT Astra Serif"/>
                <w:sz w:val="20"/>
              </w:rPr>
              <w:t xml:space="preserve"> статус ю</w:t>
            </w:r>
            <w:r>
              <w:rPr>
                <w:rFonts w:ascii="PT Astra Serif" w:hAnsi="PT Astra Serif"/>
                <w:sz w:val="20"/>
              </w:rPr>
              <w:t>ридических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лиц (включая подведомственные им казённые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и бюджетные учреждения)  отдельным видам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товаров,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 xml:space="preserve">работ, услуг </w:t>
            </w:r>
          </w:p>
          <w:p w14:paraId="5F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(в том числе предельные цены товаров,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 xml:space="preserve">работ, услуг) </w:t>
            </w:r>
          </w:p>
          <w:p w14:paraId="60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для обеспечения муниципальных нужд</w:t>
            </w:r>
          </w:p>
          <w:p w14:paraId="6100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муниципального образования Щ</w:t>
            </w:r>
            <w:r>
              <w:rPr>
                <w:rFonts w:ascii="PT Astra Serif" w:hAnsi="PT Astra Serif"/>
                <w:sz w:val="20"/>
              </w:rPr>
              <w:t>ё</w:t>
            </w:r>
            <w:r>
              <w:rPr>
                <w:rFonts w:ascii="PT Astra Serif" w:hAnsi="PT Astra Serif"/>
                <w:sz w:val="20"/>
              </w:rPr>
              <w:t>кинский район</w:t>
            </w:r>
            <w:r>
              <w:rPr>
                <w:rFonts w:ascii="PT Astra Serif" w:hAnsi="PT Astra Serif"/>
                <w:sz w:val="20"/>
              </w:rPr>
              <w:t xml:space="preserve"> и муниципального образования </w:t>
            </w:r>
          </w:p>
          <w:p w14:paraId="6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0"/>
              </w:rPr>
              <w:t xml:space="preserve">город </w:t>
            </w:r>
            <w:r>
              <w:rPr>
                <w:rFonts w:ascii="PT Astra Serif" w:hAnsi="PT Astra Serif"/>
                <w:sz w:val="20"/>
              </w:rPr>
              <w:t>Щёкино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Щёкинского</w:t>
            </w:r>
            <w:r>
              <w:rPr>
                <w:rFonts w:ascii="PT Astra Serif" w:hAnsi="PT Astra Serif"/>
                <w:sz w:val="20"/>
              </w:rPr>
              <w:t xml:space="preserve"> района</w:t>
            </w:r>
          </w:p>
        </w:tc>
      </w:tr>
    </w:tbl>
    <w:p w14:paraId="63000000">
      <w:pPr>
        <w:widowControl w:val="0"/>
        <w:ind/>
        <w:jc w:val="center"/>
        <w:rPr>
          <w:rFonts w:ascii="PT Astra Serif" w:hAnsi="PT Astra Serif"/>
          <w:sz w:val="24"/>
        </w:rPr>
      </w:pPr>
    </w:p>
    <w:p w14:paraId="64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ОБЯЗАТЕЛЬНЫЙ ПЕРЕЧЕНЬ</w:t>
      </w:r>
    </w:p>
    <w:p w14:paraId="65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отдельных видов товаров, работ, услуг, в отношении которых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определяются требования </w:t>
      </w:r>
    </w:p>
    <w:p w14:paraId="66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к их потребительским свойствам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(в том числе качество) и иным характеристикам</w:t>
      </w:r>
    </w:p>
    <w:p w14:paraId="67000000">
      <w:pPr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(в том числе предельные цены товаров, работ, услуг)</w:t>
      </w:r>
    </w:p>
    <w:p w14:paraId="68000000">
      <w:pPr>
        <w:widowControl w:val="1"/>
        <w:spacing w:line="360" w:lineRule="exact"/>
        <w:ind/>
        <w:jc w:val="left"/>
        <w:rPr>
          <w:rFonts w:ascii="PT Astra Serif" w:hAnsi="PT Astra Serif"/>
          <w:b w:val="1"/>
          <w:color w:val="000000"/>
          <w:sz w:val="18"/>
        </w:rPr>
      </w:pPr>
      <w:r>
        <w:rPr>
          <w:rFonts w:ascii="PT Astra Serif" w:hAnsi="PT Astra Serif"/>
          <w:b w:val="1"/>
          <w:color w:val="000000"/>
          <w:sz w:val="18"/>
        </w:rPr>
        <w:t xml:space="preserve"> </w:t>
      </w:r>
      <w:r>
        <w:rPr>
          <w:rFonts w:ascii="PT Astra Serif" w:hAnsi="PT Astra Serif"/>
          <w:b w:val="1"/>
          <w:color w:val="000000"/>
          <w:sz w:val="18"/>
        </w:rPr>
        <w:t xml:space="preserve">РАЗДЕЛ </w:t>
      </w:r>
      <w:r>
        <w:rPr>
          <w:rFonts w:ascii="PT Astra Serif" w:hAnsi="PT Astra Serif"/>
          <w:b w:val="1"/>
          <w:color w:val="000000"/>
          <w:sz w:val="18"/>
        </w:rPr>
        <w:t>I</w:t>
      </w:r>
    </w:p>
    <w:tbl>
      <w:tblPr>
        <w:tblStyle w:val="Style_2"/>
        <w:tblW w:type="auto" w:w="0"/>
        <w:tblInd w:type="dxa" w:w="-12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"/>
        <w:gridCol w:w="865"/>
        <w:gridCol w:w="11"/>
        <w:gridCol w:w="1985"/>
        <w:gridCol w:w="1991"/>
        <w:gridCol w:w="968"/>
        <w:gridCol w:w="1007"/>
        <w:gridCol w:w="1686"/>
        <w:gridCol w:w="1688"/>
        <w:gridCol w:w="1020"/>
        <w:gridCol w:w="1078"/>
        <w:gridCol w:w="1321"/>
        <w:gridCol w:w="200"/>
      </w:tblGrid>
      <w:tr>
        <w:trPr>
          <w:trHeight w:hRule="atLeast" w:val="300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</w:rPr>
              <w:t>п</w:t>
            </w:r>
            <w:r>
              <w:rPr>
                <w:rFonts w:ascii="PT Astra Serif" w:hAnsi="PT Astra Serif"/>
                <w:color w:val="000000"/>
                <w:sz w:val="24"/>
              </w:rPr>
              <w:t>/п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Код по ОКПД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Наименование отдельного вида товара, работы, услуги</w:t>
            </w:r>
          </w:p>
        </w:tc>
        <w:tc>
          <w:tcPr>
            <w:tcW w:type="dxa" w:w="1095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>
        <w:trPr>
          <w:trHeight w:hRule="atLeast" w:val="300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Наименование характеристики</w:t>
            </w:r>
          </w:p>
        </w:tc>
        <w:tc>
          <w:tcPr>
            <w:tcW w:type="dxa" w:w="19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Единица измерения</w:t>
            </w:r>
          </w:p>
        </w:tc>
        <w:tc>
          <w:tcPr>
            <w:tcW w:type="dxa" w:w="6993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Значение характеристики</w:t>
            </w:r>
          </w:p>
        </w:tc>
      </w:tr>
      <w:tr>
        <w:trPr>
          <w:trHeight w:hRule="atLeast" w:val="397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Код по ОКЕИ</w:t>
            </w:r>
          </w:p>
        </w:tc>
        <w:tc>
          <w:tcPr>
            <w:tcW w:type="dxa" w:w="10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Наименование</w:t>
            </w:r>
          </w:p>
        </w:tc>
        <w:tc>
          <w:tcPr>
            <w:tcW w:type="dxa" w:w="439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Администрация муниципального образования Щёкинский район</w:t>
            </w:r>
          </w:p>
        </w:tc>
        <w:tc>
          <w:tcPr>
            <w:tcW w:type="dxa" w:w="259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00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37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Должности категории "руководители"</w:t>
            </w:r>
          </w:p>
        </w:tc>
        <w:tc>
          <w:tcPr>
            <w:tcW w:type="dxa" w:w="1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Иные должности </w:t>
            </w:r>
          </w:p>
        </w:tc>
        <w:tc>
          <w:tcPr>
            <w:tcW w:type="dxa" w:w="10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Руководител</w:t>
            </w:r>
            <w:r>
              <w:rPr>
                <w:rFonts w:ascii="PT Astra Serif" w:hAnsi="PT Astra Serif"/>
                <w:color w:val="000000"/>
                <w:sz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</w:rPr>
              <w:t>, заместитель руководителя учреждения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</w:t>
            </w:r>
          </w:p>
        </w:tc>
        <w:tc>
          <w:tcPr>
            <w:tcW w:type="dxa" w:w="152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Иные должности</w:t>
            </w: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00000">
            <w:pPr>
              <w:widowControl w:val="1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Глава администрации,  заместитель главы администрации, руководитель аппарата администрации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Руководитель</w:t>
            </w:r>
            <w:r>
              <w:rPr>
                <w:rFonts w:ascii="PT Astra Serif" w:hAnsi="PT Astra Serif"/>
                <w:color w:val="000000"/>
                <w:sz w:val="24"/>
              </w:rPr>
              <w:t>, заместитель руководителя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отраслевого (функционального) органа администрации</w:t>
            </w:r>
          </w:p>
        </w:tc>
        <w:tc>
          <w:tcPr>
            <w:tcW w:type="dxa" w:w="1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52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76"/>
        </w:trPr>
        <w:tc>
          <w:tcPr>
            <w:tcW w:type="dxa" w:w="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1</w:t>
            </w:r>
          </w:p>
        </w:tc>
        <w:tc>
          <w:tcPr>
            <w:tcW w:type="dxa" w:w="8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2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3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4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5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6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7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8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9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10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4"/>
              </w:rPr>
              <w:t>11</w:t>
            </w: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26.20.11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  <w:r>
              <w:rPr>
                <w:rFonts w:ascii="PT Astra Serif" w:hAnsi="PT Astra Serif"/>
                <w:color w:val="000000"/>
                <w:sz w:val="24"/>
              </w:rPr>
              <w:t>.</w:t>
            </w:r>
          </w:p>
          <w:p w14:paraId="87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r>
              <w:rPr>
                <w:rFonts w:ascii="PT Astra Serif" w:hAnsi="PT Astra Serif"/>
                <w:sz w:val="24"/>
              </w:rPr>
              <w:t>Wi-Fi</w:t>
            </w:r>
            <w:r>
              <w:rPr>
                <w:rFonts w:ascii="PT Astra Serif" w:hAnsi="PT Astra Serif"/>
                <w:sz w:val="24"/>
              </w:rPr>
              <w:t xml:space="preserve">, </w:t>
            </w:r>
            <w:r>
              <w:rPr>
                <w:rFonts w:ascii="PT Astra Serif" w:hAnsi="PT Astra Serif"/>
                <w:sz w:val="24"/>
              </w:rPr>
              <w:t>Bluetooth</w:t>
            </w:r>
            <w:r>
              <w:rPr>
                <w:rFonts w:ascii="PT Astra Serif" w:hAnsi="PT Astra Serif"/>
                <w:sz w:val="24"/>
              </w:rPr>
              <w:t>, поддержки 3G (UMTS), тип видеоадаптера, время работы, операционная система, предустановленное программное обеспечение</w:t>
            </w:r>
          </w:p>
          <w:p w14:paraId="8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9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 на ноутбук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100,0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100,0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80,0 тыс.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8</w:t>
            </w:r>
            <w:r>
              <w:rPr>
                <w:rFonts w:ascii="PT Astra Serif" w:hAnsi="PT Astra Serif"/>
                <w:sz w:val="24"/>
              </w:rPr>
              <w:t>0,0 тыс.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9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Не более </w:t>
            </w:r>
            <w:r>
              <w:rPr>
                <w:rFonts w:ascii="PT Astra Serif" w:hAnsi="PT Astra Serif"/>
                <w:sz w:val="24"/>
              </w:rPr>
              <w:t>8</w:t>
            </w:r>
            <w:r>
              <w:rPr>
                <w:rFonts w:ascii="PT Astra Serif" w:hAnsi="PT Astra Serif"/>
                <w:sz w:val="24"/>
              </w:rPr>
              <w:t>0,0 тыс.</w:t>
            </w: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 на планшетный компьютер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Не более </w:t>
            </w:r>
            <w:r>
              <w:rPr>
                <w:rFonts w:ascii="PT Astra Serif" w:hAnsi="PT Astra Serif"/>
                <w:sz w:val="24"/>
              </w:rPr>
              <w:t>60</w:t>
            </w:r>
            <w:r>
              <w:rPr>
                <w:rFonts w:ascii="PT Astra Serif" w:hAnsi="PT Astra Serif"/>
                <w:sz w:val="24"/>
              </w:rPr>
              <w:t>,0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Не более </w:t>
            </w:r>
            <w:r>
              <w:rPr>
                <w:rFonts w:ascii="PT Astra Serif" w:hAnsi="PT Astra Serif"/>
                <w:sz w:val="24"/>
              </w:rPr>
              <w:t>60</w:t>
            </w:r>
            <w:r>
              <w:rPr>
                <w:rFonts w:ascii="PT Astra Serif" w:hAnsi="PT Astra Serif"/>
                <w:sz w:val="24"/>
              </w:rPr>
              <w:t>,0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Не более </w:t>
            </w:r>
            <w:r>
              <w:rPr>
                <w:rFonts w:ascii="PT Astra Serif" w:hAnsi="PT Astra Serif"/>
                <w:sz w:val="24"/>
              </w:rPr>
              <w:t>5</w:t>
            </w:r>
            <w:r>
              <w:rPr>
                <w:rFonts w:ascii="PT Astra Serif" w:hAnsi="PT Astra Serif"/>
                <w:sz w:val="24"/>
              </w:rPr>
              <w:t>0,0 тыс.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Не более </w:t>
            </w:r>
            <w:r>
              <w:rPr>
                <w:rFonts w:ascii="PT Astra Serif" w:hAnsi="PT Astra Serif"/>
                <w:sz w:val="24"/>
              </w:rPr>
              <w:t>4</w:t>
            </w:r>
            <w:r>
              <w:rPr>
                <w:rFonts w:ascii="PT Astra Serif" w:hAnsi="PT Astra Serif"/>
                <w:sz w:val="24"/>
              </w:rPr>
              <w:t>0,0 тыс.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A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Не более </w:t>
            </w:r>
            <w:r>
              <w:rPr>
                <w:rFonts w:ascii="PT Astra Serif" w:hAnsi="PT Astra Serif"/>
                <w:sz w:val="24"/>
              </w:rPr>
              <w:t>4</w:t>
            </w:r>
            <w:r>
              <w:rPr>
                <w:rFonts w:ascii="PT Astra Serif" w:hAnsi="PT Astra Serif"/>
                <w:sz w:val="24"/>
              </w:rPr>
              <w:t>0,0 тыс.</w:t>
            </w: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</w:t>
            </w:r>
          </w:p>
        </w:tc>
        <w:tc>
          <w:tcPr>
            <w:tcW w:type="dxa" w:w="8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26.20.15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Машины вычислительные электронные </w:t>
            </w:r>
            <w:r>
              <w:rPr>
                <w:rFonts w:ascii="PT Astra Serif" w:hAnsi="PT Astra Serif"/>
                <w:color w:val="000000"/>
                <w:sz w:val="24"/>
              </w:rPr>
              <w:t>цифровые прочие, содержащие или не содержащие в одном корпусе одно или два из следующих устрой</w:t>
            </w:r>
            <w:r>
              <w:rPr>
                <w:rFonts w:ascii="PT Astra Serif" w:hAnsi="PT Astra Serif"/>
                <w:color w:val="000000"/>
                <w:sz w:val="24"/>
              </w:rPr>
              <w:t>ств дл</w:t>
            </w:r>
            <w:r>
              <w:rPr>
                <w:rFonts w:ascii="PT Astra Serif" w:hAnsi="PT Astra Serif"/>
                <w:color w:val="000000"/>
                <w:sz w:val="24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14:paraId="A7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Пояснения по требуемой продукции:</w:t>
            </w:r>
          </w:p>
          <w:p w14:paraId="A8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компьютеры персональные настольные, рабочие станции вывода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тип (моноблок/системный блок и </w:t>
            </w:r>
            <w:r>
              <w:rPr>
                <w:rFonts w:ascii="PT Astra Serif" w:hAnsi="PT Astra Serif"/>
                <w:sz w:val="24"/>
              </w:rPr>
              <w:t>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  <w:p w14:paraId="A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B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</w:t>
            </w:r>
          </w:p>
        </w:tc>
        <w:tc>
          <w:tcPr>
            <w:tcW w:type="dxa" w:w="8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26.20.16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Устройства ввода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или </w:t>
            </w:r>
            <w:r>
              <w:rPr>
                <w:rFonts w:ascii="PT Astra Serif" w:hAnsi="PT Astra Serif"/>
                <w:color w:val="000000"/>
                <w:sz w:val="24"/>
              </w:rPr>
              <w:t>вывода, содержащие или не содержащие в одном корпусе запоминающие устройства.</w:t>
            </w:r>
          </w:p>
          <w:p w14:paraId="B6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Пояснения по требуемой продукции: принтеры, </w:t>
            </w:r>
            <w:r>
              <w:rPr>
                <w:rFonts w:ascii="PT Astra Serif" w:hAnsi="PT Astra Serif"/>
                <w:color w:val="000000"/>
                <w:sz w:val="24"/>
              </w:rPr>
              <w:t>сканеры, многофункциональные устройства</w:t>
            </w:r>
          </w:p>
          <w:p w14:paraId="B7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метод печати (струйный/лазерный - для принтера/многофункционального устройства), разрешение сканирования (для сканера/многофункционального </w:t>
            </w:r>
            <w:r>
              <w:rPr>
                <w:rFonts w:ascii="PT Astra Serif" w:hAnsi="PT Astra Serif"/>
                <w:sz w:val="24"/>
              </w:rPr>
              <w:t>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  <w:r>
              <w:rPr>
                <w:rFonts w:ascii="PT Astra Serif" w:hAnsi="PT Astra Serif"/>
                <w:sz w:val="24"/>
              </w:rPr>
              <w:t>, 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B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26.30.11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Аппаратура коммуникационная передающая с приемными устройствами.</w:t>
            </w:r>
          </w:p>
          <w:p w14:paraId="C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Пояснения по требуемой продукции: телефоны мобильные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r>
              <w:rPr>
                <w:rFonts w:ascii="PT Astra Serif" w:hAnsi="PT Astra Serif"/>
                <w:sz w:val="24"/>
              </w:rPr>
              <w:t>Wi-Fi</w:t>
            </w:r>
            <w:r>
              <w:rPr>
                <w:rFonts w:ascii="PT Astra Serif" w:hAnsi="PT Astra Serif"/>
                <w:sz w:val="24"/>
              </w:rPr>
              <w:t xml:space="preserve">, </w:t>
            </w:r>
            <w:r>
              <w:rPr>
                <w:rFonts w:ascii="PT Astra Serif" w:hAnsi="PT Astra Serif"/>
                <w:sz w:val="24"/>
              </w:rPr>
              <w:t>Bluetooth</w:t>
            </w:r>
            <w:r>
              <w:rPr>
                <w:rFonts w:ascii="PT Astra Serif" w:hAnsi="PT Astra Serif"/>
                <w:sz w:val="24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C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C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  <w:p w14:paraId="C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  <w:p w14:paraId="D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</w:t>
            </w:r>
            <w:r>
              <w:rPr>
                <w:rFonts w:ascii="PT Astra Serif" w:hAnsi="PT Astra Serif"/>
                <w:sz w:val="24"/>
              </w:rPr>
              <w:t>5</w:t>
            </w:r>
            <w:r>
              <w:rPr>
                <w:rFonts w:ascii="PT Astra Serif" w:hAnsi="PT Astra Serif"/>
                <w:sz w:val="24"/>
              </w:rPr>
              <w:t xml:space="preserve">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 15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10 тыс.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10 тыс.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D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10 тыс.</w:t>
            </w: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D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fldChar w:fldCharType="begin"/>
            </w:r>
            <w:r>
              <w:rPr>
                <w:rFonts w:ascii="PT Astra Serif" w:hAnsi="PT Astra Serif"/>
                <w:sz w:val="24"/>
              </w:rPr>
              <w:instrText>HYPERLINK "consultantplus://offline/ref=CB5FAD27416E6C4C6D34E77CBF475231AB765C49798CB74785F2BAE2E320195FCDB5E2E61B684CB68ECB7AF187C7590C1FB2B6F54293238DBBJ1I"</w:instrText>
            </w:r>
            <w:r>
              <w:rPr>
                <w:rFonts w:ascii="PT Astra Serif" w:hAnsi="PT Astra Serif"/>
                <w:sz w:val="24"/>
              </w:rPr>
              <w:fldChar w:fldCharType="separate"/>
            </w:r>
            <w:r>
              <w:rPr>
                <w:rFonts w:ascii="PT Astra Serif" w:hAnsi="PT Astra Serif"/>
                <w:sz w:val="24"/>
              </w:rPr>
              <w:t>29.10.2</w:t>
            </w:r>
            <w:r>
              <w:rPr>
                <w:rFonts w:ascii="PT Astra Serif" w:hAnsi="PT Astra Serif"/>
                <w:sz w:val="24"/>
              </w:rPr>
              <w:fldChar w:fldCharType="end"/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Автомобили легковые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двигателя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ind w:firstLine="72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E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E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Мощность двигателя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251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Лошадиная сила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E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E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Вид топлива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F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F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Комплектация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F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F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  <w:p w14:paraId="0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2,5 млн.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1,5 млн.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1,5 млн.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0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0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fldChar w:fldCharType="begin"/>
            </w:r>
            <w:r>
              <w:rPr>
                <w:rFonts w:ascii="PT Astra Serif" w:hAnsi="PT Astra Serif"/>
                <w:sz w:val="24"/>
              </w:rPr>
              <w:instrText>HYPERLINK "consultantplus://offline/ref=CB5FAD27416E6C4C6D34E77CBF475231AB765C49798CB74785F2BAE2E320195FCDB5E2E61B684CB48CCB7AF187C7590C1FB2B6F54293238DBBJ1I"</w:instrText>
            </w:r>
            <w:r>
              <w:rPr>
                <w:rFonts w:ascii="PT Astra Serif" w:hAnsi="PT Astra Serif"/>
                <w:sz w:val="24"/>
              </w:rPr>
              <w:fldChar w:fldCharType="separate"/>
            </w:r>
            <w:r>
              <w:rPr>
                <w:rFonts w:ascii="PT Astra Serif" w:hAnsi="PT Astra Serif"/>
                <w:sz w:val="24"/>
              </w:rPr>
              <w:t>29.10.3</w:t>
            </w:r>
            <w:r>
              <w:rPr>
                <w:rFonts w:ascii="PT Astra Serif" w:hAnsi="PT Astra Serif"/>
                <w:sz w:val="24"/>
              </w:rPr>
              <w:fldChar w:fldCharType="end"/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Средства автотранспортные для перевозки 10 или более человек</w:t>
            </w:r>
          </w:p>
          <w:p w14:paraId="0D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  <w:p w14:paraId="0E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двигателя, комплектация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widowControl w:val="1"/>
              <w:ind w:firstLine="720"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1"/>
              <w:ind w:firstLine="720"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16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1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Мощность двигателя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251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Лошадиная </w:t>
            </w:r>
            <w:r>
              <w:rPr>
                <w:rFonts w:ascii="PT Astra Serif" w:hAnsi="PT Astra Serif"/>
                <w:sz w:val="24"/>
              </w:rPr>
              <w:t>сила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1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2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Вид топлива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2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2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Комплектация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3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3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fldChar w:fldCharType="begin"/>
            </w:r>
            <w:r>
              <w:rPr>
                <w:rFonts w:ascii="PT Astra Serif" w:hAnsi="PT Astra Serif"/>
                <w:sz w:val="24"/>
              </w:rPr>
              <w:instrText>HYPERLINK "consultantplus://offline/ref=CB5FAD27416E6C4C6D34E77CBF475231AB76594D738EB74785F2BAE2E320195FCDB5E2E6196A40B68BCB7AF187C7590C1FB2B6F54293238DBBJ1I"</w:instrText>
            </w:r>
            <w:r>
              <w:rPr>
                <w:rFonts w:ascii="PT Astra Serif" w:hAnsi="PT Astra Serif"/>
                <w:sz w:val="24"/>
              </w:rPr>
              <w:fldChar w:fldCharType="separate"/>
            </w:r>
            <w:r>
              <w:rPr>
                <w:rFonts w:ascii="PT Astra Serif" w:hAnsi="PT Astra Serif"/>
                <w:sz w:val="24"/>
              </w:rPr>
              <w:t>383</w:t>
            </w:r>
            <w:r>
              <w:rPr>
                <w:rFonts w:ascii="PT Astra Serif" w:hAnsi="PT Astra Serif"/>
                <w:sz w:val="24"/>
              </w:rPr>
              <w:fldChar w:fldCharType="end"/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3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3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fldChar w:fldCharType="begin"/>
            </w:r>
            <w:r>
              <w:rPr>
                <w:rFonts w:ascii="PT Astra Serif" w:hAnsi="PT Astra Serif"/>
                <w:sz w:val="24"/>
              </w:rPr>
              <w:instrText>HYPERLINK "consultantplus://offline/ref=CB5FAD27416E6C4C6D34E77CBF475231AB765C49798CB74785F2BAE2E320195FCDB5E2E61B684CB28CCB7AF187C7590C1FB2B6F54293238DBBJ1I"</w:instrText>
            </w:r>
            <w:r>
              <w:rPr>
                <w:rFonts w:ascii="PT Astra Serif" w:hAnsi="PT Astra Serif"/>
                <w:sz w:val="24"/>
              </w:rPr>
              <w:fldChar w:fldCharType="separate"/>
            </w:r>
            <w:r>
              <w:rPr>
                <w:rFonts w:ascii="PT Astra Serif" w:hAnsi="PT Astra Serif"/>
                <w:sz w:val="24"/>
              </w:rPr>
              <w:t>29.10.4</w:t>
            </w:r>
            <w:r>
              <w:rPr>
                <w:rFonts w:ascii="PT Astra Serif" w:hAnsi="PT Astra Serif"/>
                <w:sz w:val="24"/>
              </w:rPr>
              <w:fldChar w:fldCharType="end"/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Средства автотранспортные грузовые 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двигателя, комплектация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widowControl w:val="1"/>
              <w:ind w:firstLine="720"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widowControl w:val="1"/>
              <w:ind w:firstLine="720"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46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4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Мощность двигателя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251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Лошадиная сила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4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50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Вид топлива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5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59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Комплектация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6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6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132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fldChar w:fldCharType="begin"/>
            </w:r>
            <w:r>
              <w:rPr>
                <w:rFonts w:ascii="PT Astra Serif" w:hAnsi="PT Astra Serif"/>
                <w:sz w:val="24"/>
              </w:rPr>
              <w:instrText>HYPERLINK "consultantplus://offline/ref=CB5FAD27416E6C4C6D34E77CBF475231AB76594D738EB74785F2BAE2E320195FCDB5E2E6196A40B68BCB7AF187C7590C1FB2B6F54293238DBBJ1I"</w:instrText>
            </w:r>
            <w:r>
              <w:rPr>
                <w:rFonts w:ascii="PT Astra Serif" w:hAnsi="PT Astra Serif"/>
                <w:sz w:val="24"/>
              </w:rPr>
              <w:fldChar w:fldCharType="separate"/>
            </w:r>
            <w:r>
              <w:rPr>
                <w:rFonts w:ascii="PT Astra Serif" w:hAnsi="PT Astra Serif"/>
                <w:sz w:val="24"/>
              </w:rPr>
              <w:t>383</w:t>
            </w:r>
            <w:r>
              <w:rPr>
                <w:rFonts w:ascii="PT Astra Serif" w:hAnsi="PT Astra Serif"/>
                <w:sz w:val="24"/>
              </w:rPr>
              <w:fldChar w:fldCharType="end"/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6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6B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8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31.01.11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Мебель металлическая для офисов. 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материал (металл), обивочные материалы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искусственная кожа; возможные значения: мебельный (искусственный) мех, искусственная замша (микрофибра), </w:t>
            </w:r>
            <w:r>
              <w:rPr>
                <w:rFonts w:ascii="PT Astra Serif" w:hAnsi="PT Astra Serif"/>
                <w:color w:val="000000"/>
                <w:sz w:val="24"/>
              </w:rPr>
              <w:t>ткань, нетканые материалы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7601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искусственная кожа; возможные значения: мебельный (искусственный) мех, искусственная замша (микрофибра), </w:t>
            </w:r>
            <w:r>
              <w:rPr>
                <w:rFonts w:ascii="PT Astra Serif" w:hAnsi="PT Astra Serif"/>
                <w:color w:val="000000"/>
                <w:sz w:val="24"/>
              </w:rPr>
              <w:t>ткань, нетканые материалы</w:t>
            </w: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878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7F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80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  <w:p w14:paraId="81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  <w:p w14:paraId="82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  <w:p w14:paraId="83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  <w:p w14:paraId="84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  <w:p w14:paraId="85010000">
            <w:pPr>
              <w:widowControl w:val="1"/>
              <w:ind/>
              <w:jc w:val="left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9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31.01.12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Мебель </w:t>
            </w:r>
            <w:r>
              <w:rPr>
                <w:rFonts w:ascii="PT Astra Serif" w:hAnsi="PT Astra Serif"/>
                <w:color w:val="000000"/>
                <w:sz w:val="24"/>
              </w:rPr>
              <w:t>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материал (вид древесины)</w:t>
            </w:r>
          </w:p>
          <w:p w14:paraId="8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</w:t>
            </w:r>
            <w:r>
              <w:rPr>
                <w:rFonts w:ascii="PT Astra Serif" w:hAnsi="PT Astra Serif"/>
                <w:color w:val="000000"/>
                <w:sz w:val="24"/>
              </w:rPr>
              <w:t>мягколиственных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пород: береза, лиственница, сосна, ель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</w:t>
            </w:r>
            <w:r>
              <w:rPr>
                <w:rFonts w:ascii="PT Astra Serif" w:hAnsi="PT Astra Serif"/>
                <w:color w:val="000000"/>
                <w:sz w:val="24"/>
              </w:rPr>
              <w:t>мягколиственных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пород: береза, лиственница, сосна, ель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возможные значения: древесина хвойных и </w:t>
            </w:r>
            <w:r>
              <w:rPr>
                <w:rFonts w:ascii="PT Astra Serif" w:hAnsi="PT Astra Serif"/>
                <w:color w:val="000000"/>
                <w:sz w:val="24"/>
              </w:rPr>
              <w:t>мягколиственных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пород: береза, лиственница, сосна, ель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возможное значение - древесина хвойных и </w:t>
            </w:r>
            <w:r>
              <w:rPr>
                <w:rFonts w:ascii="PT Astra Serif" w:hAnsi="PT Astra Serif"/>
                <w:color w:val="000000"/>
                <w:sz w:val="24"/>
              </w:rPr>
              <w:t>мягколиственных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пород: береза, лиственница, сосна, ель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9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возможное значение - древесина хвойных и </w:t>
            </w:r>
            <w:r>
              <w:rPr>
                <w:rFonts w:ascii="PT Astra Serif" w:hAnsi="PT Astra Serif"/>
                <w:color w:val="000000"/>
                <w:sz w:val="24"/>
              </w:rPr>
              <w:t>мягколиственных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пород: береза, лиственница, сосна, ель</w:t>
            </w: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2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обивочные материалы</w:t>
            </w:r>
          </w:p>
          <w:p w14:paraId="94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кожа натуральная; возможные </w:t>
            </w:r>
            <w:r>
              <w:rPr>
                <w:rFonts w:ascii="PT Astra Serif" w:hAnsi="PT Astra Serif"/>
                <w:color w:val="000000"/>
                <w:sz w:val="24"/>
              </w:rPr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кожа натуральная; возможные </w:t>
            </w:r>
            <w:r>
              <w:rPr>
                <w:rFonts w:ascii="PT Astra Serif" w:hAnsi="PT Astra Serif"/>
                <w:color w:val="000000"/>
                <w:sz w:val="24"/>
              </w:rPr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предельное значение - искусств</w:t>
            </w:r>
            <w:r>
              <w:rPr>
                <w:rFonts w:ascii="PT Astra Serif" w:hAnsi="PT Astra Serif"/>
                <w:color w:val="000000"/>
                <w:sz w:val="24"/>
              </w:rPr>
              <w:t>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предельное значение - искусственная кожа; возможные </w:t>
            </w:r>
            <w:r>
              <w:rPr>
                <w:rFonts w:ascii="PT Astra Serif" w:hAnsi="PT Astra Serif"/>
                <w:color w:val="000000"/>
                <w:sz w:val="24"/>
              </w:rPr>
              <w:t>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9B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предельное значение - искусств</w:t>
            </w:r>
            <w:r>
              <w:rPr>
                <w:rFonts w:ascii="PT Astra Serif" w:hAnsi="PT Astra Serif"/>
                <w:color w:val="000000"/>
                <w:sz w:val="24"/>
              </w:rPr>
              <w:t>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C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10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49.32.11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Услуги такси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Мощность двигателя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2251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лошадиная сила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200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коробки передач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Комплектация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Время предоставления автомобиля потребителю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  <w:r>
              <w:rPr>
                <w:rFonts w:ascii="PT Astra Serif" w:hAnsi="PT Astra Serif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11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</w:p>
          <w:p w14:paraId="CA01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49.32.12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Услуги по аренде легковых автомобилей с водителем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Мощность двигателя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2251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лошадиная сила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200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не более 200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коробки передач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Комплектация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Время предоставления автомобиля потребителю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1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1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12</w:t>
            </w:r>
          </w:p>
        </w:tc>
        <w:tc>
          <w:tcPr>
            <w:tcW w:type="dxa" w:w="87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58.29.13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1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Общая сумма </w:t>
            </w:r>
            <w:r>
              <w:rPr>
                <w:rFonts w:ascii="PT Astra Serif" w:hAnsi="PT Astra Serif"/>
                <w:sz w:val="24"/>
              </w:rPr>
              <w:t>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7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2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258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13</w:t>
            </w:r>
          </w:p>
        </w:tc>
        <w:tc>
          <w:tcPr>
            <w:tcW w:type="dxa" w:w="876"/>
            <w:gridSpan w:val="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58.29.21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bottom"/>
          </w:tcPr>
          <w:p w14:paraId="1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  <w:p w14:paraId="1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</w:t>
            </w:r>
            <w:r>
              <w:rPr>
                <w:rFonts w:ascii="PT Astra Serif" w:hAnsi="PT Astra Serif"/>
                <w:sz w:val="24"/>
              </w:rPr>
              <w:t>овместимость с системами межведомственного электронного документооборота (МЭДО) (да/нет)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321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vAlign w:val="center"/>
          </w:tcPr>
          <w:p w14:paraId="1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20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1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996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</w:t>
            </w:r>
            <w:r>
              <w:rPr>
                <w:rFonts w:ascii="PT Astra Serif" w:hAnsi="PT Astra Serif"/>
                <w:color w:val="000000"/>
                <w:sz w:val="24"/>
              </w:rPr>
              <w:t>оддерживаемые типы данных, текстовые и графические возможности приложения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996"/>
            <w:gridSpan w:val="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оответствие </w:t>
            </w:r>
            <w:r>
              <w:rPr>
                <w:rFonts w:ascii="PT Astra Serif" w:hAnsi="PT Astra Serif"/>
                <w:color w:val="000000"/>
                <w:sz w:val="24"/>
              </w:rPr>
              <w:t>Федеральному закону "О персональных данных" приложений, содержащих персональные данные (да/нет)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2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  <w:p w14:paraId="3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  <w:p w14:paraId="3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  <w:p w14:paraId="3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14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58.29.31</w:t>
            </w:r>
          </w:p>
        </w:tc>
        <w:tc>
          <w:tcPr>
            <w:tcW w:type="dxa" w:w="1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</w:t>
            </w:r>
            <w:r>
              <w:rPr>
                <w:rFonts w:ascii="PT Astra Serif" w:hAnsi="PT Astra Serif"/>
                <w:sz w:val="24"/>
              </w:rPr>
              <w:t xml:space="preserve">спользование российских </w:t>
            </w:r>
            <w:r>
              <w:rPr>
                <w:rFonts w:ascii="PT Astra Serif" w:hAnsi="PT Astra Serif"/>
                <w:sz w:val="24"/>
              </w:rPr>
              <w:t>криптоалгоритмов</w:t>
            </w:r>
            <w:r>
              <w:rPr>
                <w:rFonts w:ascii="PT Astra Serif" w:hAnsi="PT Astra Serif"/>
                <w:sz w:val="24"/>
              </w:rPr>
              <w:t xml:space="preserve">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</w:t>
            </w:r>
            <w:r>
              <w:rPr>
                <w:rFonts w:ascii="PT Astra Serif" w:hAnsi="PT Astra Serif"/>
                <w:sz w:val="24"/>
              </w:rPr>
              <w:t>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15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58.29.</w:t>
            </w:r>
            <w:r>
              <w:rPr>
                <w:rFonts w:ascii="PT Astra Serif" w:hAnsi="PT Astra Serif"/>
                <w:color w:val="000000"/>
                <w:sz w:val="24"/>
              </w:rPr>
              <w:t>32</w:t>
            </w:r>
          </w:p>
        </w:tc>
        <w:tc>
          <w:tcPr>
            <w:tcW w:type="dxa" w:w="1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Обеспечение </w:t>
            </w:r>
            <w:r>
              <w:rPr>
                <w:rFonts w:ascii="PT Astra Serif" w:hAnsi="PT Astra Serif"/>
                <w:color w:val="000000"/>
                <w:sz w:val="24"/>
              </w:rPr>
              <w:t>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Поддержка и </w:t>
            </w:r>
            <w:r>
              <w:rPr>
                <w:rFonts w:ascii="PT Astra Serif" w:hAnsi="PT Astra Serif"/>
                <w:sz w:val="24"/>
              </w:rPr>
              <w:t>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  <w:r>
              <w:rPr>
                <w:rFonts w:ascii="PT Astra Serif" w:hAnsi="PT Astra Serif"/>
                <w:sz w:val="24"/>
              </w:rPr>
              <w:tab/>
            </w:r>
            <w:r>
              <w:rPr>
                <w:rFonts w:ascii="PT Astra Serif" w:hAnsi="PT Astra Serif"/>
                <w:sz w:val="24"/>
              </w:rPr>
              <w:tab/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16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61.10.30</w:t>
            </w:r>
          </w:p>
        </w:tc>
        <w:tc>
          <w:tcPr>
            <w:tcW w:type="dxa" w:w="1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передачи данных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Скорость канала передачи данных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Доля потерянных пакетов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17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61.20.11</w:t>
            </w:r>
          </w:p>
        </w:tc>
        <w:tc>
          <w:tcPr>
            <w:tcW w:type="dxa" w:w="1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Услуги подвижной связи общего пользования – обеспечение доступа и поддержка пользователя.  </w:t>
            </w:r>
            <w:r>
              <w:rPr>
                <w:rFonts w:ascii="PT Astra Serif" w:hAnsi="PT Astra Serif"/>
                <w:color w:val="000000"/>
                <w:sz w:val="24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Тарификация услуги голосовой связи, доступа в информационно-телекоммуникационную сеть «Интернет» </w:t>
            </w:r>
            <w:r>
              <w:rPr>
                <w:rFonts w:ascii="PT Astra Serif" w:hAnsi="PT Astra Serif"/>
                <w:sz w:val="24"/>
              </w:rPr>
              <w:t>(лимитная/</w:t>
            </w:r>
            <w:r>
              <w:rPr>
                <w:rFonts w:ascii="PT Astra Serif" w:hAnsi="PT Astra Serif"/>
                <w:sz w:val="24"/>
              </w:rPr>
              <w:t>безлимитная</w:t>
            </w:r>
            <w:r>
              <w:rPr>
                <w:rFonts w:ascii="PT Astra Serif" w:hAnsi="PT Astra Serif"/>
                <w:sz w:val="24"/>
              </w:rPr>
              <w:t>)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Объем доступной услуги голосовой связи (минут), доступа в информационно-телекоммуникационную сеть «Интернет» (Гб)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Доступ услуги голосовой связи (домашний регион, территория Российской Федерации, за пределами Российской Федерации – роуминг), доступ в информационно-телекоммуникационную сеть «Интернет» (Гб) (да/нет)</w:t>
            </w:r>
          </w:p>
          <w:p w14:paraId="98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 тыс.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18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61.20.30</w:t>
            </w:r>
          </w:p>
        </w:tc>
        <w:tc>
          <w:tcPr>
            <w:tcW w:type="dxa" w:w="1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Услуги по передаче данных </w:t>
            </w:r>
            <w:r>
              <w:rPr>
                <w:rFonts w:ascii="PT Astra Serif" w:hAnsi="PT Astra Serif"/>
                <w:color w:val="000000"/>
                <w:sz w:val="24"/>
              </w:rPr>
              <w:t>по беспроводным телекоммуникационным сетям. Пояснения по требуемой услуге: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Услуга связи для ноутбуков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 тыс.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Услуга связи для планшетных компьютеров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 тыс.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19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61.20.42</w:t>
            </w:r>
          </w:p>
        </w:tc>
        <w:tc>
          <w:tcPr>
            <w:tcW w:type="dxa" w:w="1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Услуги по широкополосному доступу к информационно-телекоммуникационной сети «Интернет» по беспроводным сетям. Пояснения по требуемой услуге: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Услуга связи для ноутбуков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 тыс.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Услуга связи для планшетных компьютеров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4 тыс.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 тыс.</w:t>
            </w: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20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61.90.10</w:t>
            </w:r>
          </w:p>
        </w:tc>
        <w:tc>
          <w:tcPr>
            <w:tcW w:type="dxa" w:w="1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Услуги телекоммуникационные прочие. Пояснения по требуемым услугам: оказание у слуг по </w:t>
            </w:r>
            <w:r>
              <w:rPr>
                <w:rFonts w:ascii="PT Astra Serif" w:hAnsi="PT Astra Serif"/>
                <w:color w:val="000000"/>
                <w:sz w:val="24"/>
              </w:rPr>
              <w:t>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Максимальная скорость соединения  в информационно-телекоммуникационную сети «Интернет»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</w:p>
          <w:p w14:paraId="EE020000">
            <w:pPr>
              <w:pStyle w:val="Style_7"/>
              <w:widowControl w:val="1"/>
              <w:ind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21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77.11.10</w:t>
            </w:r>
          </w:p>
        </w:tc>
        <w:tc>
          <w:tcPr>
            <w:tcW w:type="dxa" w:w="1996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услуга по аренде и лизингу легких (до 3,5 т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)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автотранспортных средств без водителя</w:t>
            </w:r>
          </w:p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2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Мощность двигателя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251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Лошадиная сила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200</w:t>
            </w: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Не более 200</w:t>
            </w: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2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3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Тип коробки передач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3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Комплектация автомобиля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4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6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3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</w:p>
          <w:p w14:paraId="12030000">
            <w:pPr>
              <w:pStyle w:val="Style_7"/>
              <w:widowControl w:val="1"/>
              <w:ind w:firstLine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Предельная цена</w:t>
            </w:r>
          </w:p>
        </w:tc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383</w:t>
            </w:r>
          </w:p>
        </w:tc>
        <w:tc>
          <w:tcPr>
            <w:tcW w:type="dxa" w:w="1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рубль</w:t>
            </w:r>
          </w:p>
        </w:tc>
        <w:tc>
          <w:tcPr>
            <w:tcW w:type="dxa" w:w="1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6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  <w:tc>
          <w:tcPr>
            <w:tcW w:type="dxa" w:w="15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</w:p>
        </w:tc>
      </w:tr>
    </w:tbl>
    <w:p w14:paraId="1A030000">
      <w:pPr>
        <w:widowControl w:val="1"/>
        <w:spacing w:line="360" w:lineRule="exact"/>
        <w:ind/>
        <w:jc w:val="left"/>
        <w:rPr>
          <w:rFonts w:ascii="PT Astra Serif" w:hAnsi="PT Astra Serif"/>
          <w:b w:val="1"/>
          <w:color w:val="000000"/>
          <w:sz w:val="18"/>
        </w:rPr>
      </w:pPr>
    </w:p>
    <w:p w14:paraId="1B030000">
      <w:pPr>
        <w:widowControl w:val="1"/>
        <w:ind/>
        <w:jc w:val="center"/>
      </w:pPr>
      <w:r>
        <w:rPr>
          <w:rFonts w:ascii="PT Astra Serif" w:hAnsi="PT Astra Serif"/>
          <w:sz w:val="28"/>
        </w:rPr>
        <w:t>__________</w:t>
      </w:r>
      <w:r>
        <w:rPr>
          <w:rFonts w:ascii="PT Astra Serif" w:hAnsi="PT Astra Serif"/>
          <w:sz w:val="28"/>
        </w:rPr>
        <w:t>__________________________________________</w:t>
      </w:r>
    </w:p>
    <w:p w14:paraId="1C030000"/>
    <w:p w14:paraId="1D030000"/>
    <w:p w14:paraId="1E030000"/>
    <w:p w14:paraId="1F030000"/>
    <w:p w14:paraId="20030000"/>
    <w:tbl>
      <w:tblPr>
        <w:tblStyle w:val="Style_2"/>
        <w:tblW w:type="auto" w:w="0"/>
        <w:jc w:val="right"/>
        <w:tblInd w:type="dxa" w:w="3521"/>
        <w:tblLayout w:type="fixed"/>
      </w:tblPr>
      <w:tblGrid>
        <w:gridCol w:w="6031"/>
      </w:tblGrid>
      <w:tr>
        <w:trPr>
          <w:trHeight w:hRule="atLeast" w:val="1846"/>
        </w:trPr>
        <w:tc>
          <w:tcPr>
            <w:tcW w:type="dxa" w:w="6031"/>
          </w:tcPr>
          <w:p w14:paraId="2103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Приложение </w:t>
            </w:r>
            <w:r>
              <w:rPr>
                <w:rFonts w:ascii="PT Astra Serif" w:hAnsi="PT Astra Serif"/>
                <w:sz w:val="20"/>
              </w:rPr>
              <w:t>№ 2</w:t>
            </w:r>
          </w:p>
          <w:p w14:paraId="2203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к Правилам определения требований</w:t>
            </w:r>
          </w:p>
          <w:p w14:paraId="2303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к </w:t>
            </w:r>
            <w:r>
              <w:rPr>
                <w:rFonts w:ascii="PT Astra Serif" w:hAnsi="PT Astra Serif"/>
                <w:sz w:val="20"/>
              </w:rPr>
              <w:t>закупаемым</w:t>
            </w:r>
            <w:r>
              <w:rPr>
                <w:rFonts w:ascii="PT Astra Serif" w:hAnsi="PT Astra Serif"/>
                <w:sz w:val="20"/>
              </w:rPr>
              <w:t xml:space="preserve"> органами местного самоуправления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муниципального образования Щ</w:t>
            </w:r>
            <w:r>
              <w:rPr>
                <w:rFonts w:ascii="PT Astra Serif" w:hAnsi="PT Astra Serif"/>
                <w:sz w:val="20"/>
              </w:rPr>
              <w:t>ё</w:t>
            </w:r>
            <w:r>
              <w:rPr>
                <w:rFonts w:ascii="PT Astra Serif" w:hAnsi="PT Astra Serif"/>
                <w:sz w:val="20"/>
              </w:rPr>
              <w:t>кинский район,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отраслевыми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(функциональными) органами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администрации муниципального образования</w:t>
            </w:r>
          </w:p>
          <w:p w14:paraId="24030000">
            <w:pPr>
              <w:widowControl w:val="1"/>
              <w:ind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Щ</w:t>
            </w:r>
            <w:r>
              <w:rPr>
                <w:rFonts w:ascii="PT Astra Serif" w:hAnsi="PT Astra Serif"/>
                <w:sz w:val="20"/>
              </w:rPr>
              <w:t>ё</w:t>
            </w:r>
            <w:r>
              <w:rPr>
                <w:rFonts w:ascii="PT Astra Serif" w:hAnsi="PT Astra Serif"/>
                <w:sz w:val="20"/>
              </w:rPr>
              <w:t>ки</w:t>
            </w:r>
            <w:r>
              <w:rPr>
                <w:rFonts w:ascii="PT Astra Serif" w:hAnsi="PT Astra Serif"/>
                <w:sz w:val="20"/>
              </w:rPr>
              <w:t xml:space="preserve">нский район, </w:t>
            </w:r>
            <w:r>
              <w:rPr>
                <w:rFonts w:ascii="PT Astra Serif" w:hAnsi="PT Astra Serif"/>
                <w:sz w:val="20"/>
              </w:rPr>
              <w:t>имеющими</w:t>
            </w:r>
            <w:r>
              <w:rPr>
                <w:rFonts w:ascii="PT Astra Serif" w:hAnsi="PT Astra Serif"/>
                <w:sz w:val="20"/>
              </w:rPr>
              <w:t xml:space="preserve"> статус ю</w:t>
            </w:r>
            <w:r>
              <w:rPr>
                <w:rFonts w:ascii="PT Astra Serif" w:hAnsi="PT Astra Serif"/>
                <w:sz w:val="20"/>
              </w:rPr>
              <w:t>ридических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лиц (включая подведомственные им казённые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и бюджетные учреждения)  отдельным видам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товаров,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работ, услуг (в том числе предельные цены товаров,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работ, услуг) для обеспечения муниципальных нужд</w:t>
            </w:r>
          </w:p>
          <w:p w14:paraId="2503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0"/>
              </w:rPr>
              <w:t>муниципального образования Щ</w:t>
            </w:r>
            <w:r>
              <w:rPr>
                <w:rFonts w:ascii="PT Astra Serif" w:hAnsi="PT Astra Serif"/>
                <w:sz w:val="20"/>
              </w:rPr>
              <w:t>ё</w:t>
            </w:r>
            <w:r>
              <w:rPr>
                <w:rFonts w:ascii="PT Astra Serif" w:hAnsi="PT Astra Serif"/>
                <w:sz w:val="20"/>
              </w:rPr>
              <w:t>кинский район</w:t>
            </w:r>
            <w:r>
              <w:rPr>
                <w:rFonts w:ascii="PT Astra Serif" w:hAnsi="PT Astra Serif"/>
                <w:sz w:val="20"/>
              </w:rPr>
              <w:t xml:space="preserve"> и муниципального образования город </w:t>
            </w:r>
            <w:r>
              <w:rPr>
                <w:rFonts w:ascii="PT Astra Serif" w:hAnsi="PT Astra Serif"/>
                <w:sz w:val="20"/>
              </w:rPr>
              <w:t>Щёкино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hAnsi="PT Astra Serif"/>
                <w:sz w:val="20"/>
              </w:rPr>
              <w:t>Щёкинского</w:t>
            </w:r>
            <w:r>
              <w:rPr>
                <w:rFonts w:ascii="PT Astra Serif" w:hAnsi="PT Astra Serif"/>
                <w:sz w:val="20"/>
              </w:rPr>
              <w:t xml:space="preserve"> района</w:t>
            </w:r>
          </w:p>
        </w:tc>
      </w:tr>
    </w:tbl>
    <w:p w14:paraId="26030000">
      <w:pPr>
        <w:widowControl w:val="1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ФОРМА</w:t>
      </w:r>
    </w:p>
    <w:p w14:paraId="27030000">
      <w:pPr>
        <w:widowControl w:val="0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ВЕДОМСТВЕННЫЙ ПЕРЕЧЕНЬ</w:t>
      </w:r>
    </w:p>
    <w:p w14:paraId="28030000">
      <w:pPr>
        <w:widowControl w:val="0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отдельных видов товаров, работ, услуг, в отношении которых</w:t>
      </w:r>
    </w:p>
    <w:p w14:paraId="29030000">
      <w:pPr>
        <w:widowControl w:val="0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определяются требования к их потребительским свойствам</w:t>
      </w:r>
    </w:p>
    <w:p w14:paraId="2A030000">
      <w:pPr>
        <w:widowControl w:val="0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(в том числе качество) и иным характеристикам</w:t>
      </w:r>
    </w:p>
    <w:p w14:paraId="2B030000">
      <w:pPr>
        <w:widowControl w:val="0"/>
        <w:ind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(в том числе предельные цены товаров, работ, услуг)</w:t>
      </w:r>
    </w:p>
    <w:p w14:paraId="2C030000">
      <w:pPr>
        <w:widowControl w:val="0"/>
        <w:ind/>
        <w:jc w:val="center"/>
        <w:rPr>
          <w:rFonts w:ascii="PT Astra Serif" w:hAnsi="PT Astra Serif"/>
          <w:sz w:val="24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64"/>
        <w:gridCol w:w="1077"/>
        <w:gridCol w:w="1201"/>
        <w:gridCol w:w="850"/>
        <w:gridCol w:w="907"/>
        <w:gridCol w:w="1083"/>
        <w:gridCol w:w="1068"/>
        <w:gridCol w:w="185"/>
        <w:gridCol w:w="1933"/>
        <w:gridCol w:w="575"/>
        <w:gridCol w:w="1276"/>
        <w:gridCol w:w="570"/>
        <w:gridCol w:w="907"/>
        <w:gridCol w:w="366"/>
        <w:gridCol w:w="1275"/>
      </w:tblGrid>
      <w:tr>
        <w:tc>
          <w:tcPr>
            <w:tcW w:type="dxa" w:w="14237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30000">
            <w:pPr>
              <w:widowControl w:val="0"/>
              <w:ind/>
              <w:jc w:val="left"/>
              <w:outlineLvl w:val="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РАЗДЕЛ I</w:t>
            </w:r>
          </w:p>
        </w:tc>
      </w:tr>
      <w:tr>
        <w:tc>
          <w:tcPr>
            <w:tcW w:type="dxa" w:w="9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Код по ОКПД</w:t>
            </w: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отдельного вида товара, работы, услуги</w:t>
            </w:r>
          </w:p>
        </w:tc>
        <w:tc>
          <w:tcPr>
            <w:tcW w:type="dxa" w:w="12196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Требования к потребительским свойствам (в том числе качество) и иным характеристикам (в том числе предельные цены) отдельных видов товаров, работ, услуг</w:t>
            </w: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характеристики</w:t>
            </w:r>
          </w:p>
        </w:tc>
        <w:tc>
          <w:tcPr>
            <w:tcW w:type="dxa" w:w="17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type="dxa" w:w="9238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Значение характеристики</w:t>
            </w: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код по ОКЕИ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type="dxa" w:w="669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Муниципальный субъект нормирования</w:t>
            </w:r>
          </w:p>
        </w:tc>
        <w:tc>
          <w:tcPr>
            <w:tcW w:type="dxa" w:w="25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>
              <w:rPr>
                <w:rFonts w:ascii="PT Astra Serif" w:hAnsi="PT Astra Serif"/>
              </w:rPr>
              <w:t>одведомственные казенные и бюджетные учреждения</w:t>
            </w:r>
          </w:p>
        </w:tc>
      </w:tr>
      <w:t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type="dxa" w:w="669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type="dxa" w:w="25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</w:tr>
      <w:tr>
        <w:tc>
          <w:tcPr>
            <w:tcW w:type="dxa" w:w="14237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30000">
            <w:pPr>
              <w:widowControl w:val="0"/>
              <w:ind/>
              <w:jc w:val="center"/>
              <w:outlineLvl w:val="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Отдельные виды товаров (работ, услуг), значения свойств (характеристик) которых устанавливаются </w:t>
            </w:r>
          </w:p>
          <w:p w14:paraId="40030000">
            <w:pPr>
              <w:widowControl w:val="0"/>
              <w:ind/>
              <w:jc w:val="center"/>
              <w:outlineLvl w:val="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 учетом категорий и (или) групп должностей работников</w:t>
            </w:r>
          </w:p>
        </w:tc>
      </w:tr>
      <w:tr>
        <w:trPr>
          <w:trHeight w:hRule="atLeast" w:val="373"/>
        </w:trPr>
        <w:tc>
          <w:tcPr>
            <w:tcW w:type="dxa" w:w="9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9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484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должности </w:t>
            </w:r>
            <w:r>
              <w:rPr>
                <w:rFonts w:ascii="PT Astra Serif" w:hAnsi="PT Astra Serif"/>
              </w:rPr>
              <w:t>муниципальной</w:t>
            </w:r>
            <w:r>
              <w:rPr>
                <w:rFonts w:ascii="PT Astra Serif" w:hAnsi="PT Astra Serif"/>
              </w:rPr>
              <w:t xml:space="preserve"> службы категории "руководители"</w:t>
            </w:r>
          </w:p>
          <w:p w14:paraId="47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 должности</w:t>
            </w:r>
          </w:p>
          <w:p w14:paraId="49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311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Подведомственные казённые и бюджетные учреждения</w:t>
            </w:r>
          </w:p>
        </w:tc>
      </w:tr>
      <w:tr>
        <w:trPr>
          <w:trHeight w:hRule="atLeast" w:val="253"/>
        </w:trP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Глава администрации,  заместитель главы администрации, руководитель аппарата администрации</w:t>
            </w:r>
          </w:p>
        </w:tc>
        <w:tc>
          <w:tcPr>
            <w:tcW w:type="dxa" w:w="2693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Руководитель</w:t>
            </w:r>
            <w:r>
              <w:rPr>
                <w:rFonts w:ascii="PT Astra Serif" w:hAnsi="PT Astra Serif"/>
                <w:color w:val="000000"/>
                <w:sz w:val="24"/>
              </w:rPr>
              <w:t>, заместитель руководителя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отраслевого (функционального) органа администрации</w:t>
            </w:r>
          </w:p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1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rPr>
          <w:trHeight w:hRule="atLeast" w:val="886"/>
        </w:trP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1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93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D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Руководитель</w:t>
            </w:r>
            <w:r>
              <w:rPr>
                <w:rFonts w:ascii="PT Astra Serif" w:hAnsi="PT Astra Serif"/>
                <w:color w:val="000000"/>
                <w:sz w:val="24"/>
              </w:rPr>
              <w:t>, заместитель руководителя учреждения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E03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Иные должности</w:t>
            </w:r>
          </w:p>
        </w:tc>
      </w:tr>
      <w:tr>
        <w:trPr>
          <w:trHeight w:hRule="atLeast" w:val="308"/>
        </w:trP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  <w:p w14:paraId="56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</w:p>
        </w:tc>
      </w:tr>
      <w:t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n...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6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14237"/>
            <w:gridSpan w:val="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30000">
            <w:pPr>
              <w:widowControl w:val="0"/>
              <w:ind/>
              <w:jc w:val="left"/>
              <w:outlineLvl w:val="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РАЗДЕЛ II</w:t>
            </w:r>
          </w:p>
        </w:tc>
      </w:tr>
      <w:tr>
        <w:tc>
          <w:tcPr>
            <w:tcW w:type="dxa" w:w="9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N </w:t>
            </w:r>
            <w:r>
              <w:rPr>
                <w:rFonts w:ascii="PT Astra Serif" w:hAnsi="PT Astra Serif"/>
              </w:rPr>
              <w:t>п</w:t>
            </w:r>
            <w:r>
              <w:rPr>
                <w:rFonts w:ascii="PT Astra Serif" w:hAnsi="PT Astra Serif"/>
              </w:rPr>
              <w:t>/п</w:t>
            </w:r>
          </w:p>
        </w:tc>
        <w:tc>
          <w:tcPr>
            <w:tcW w:type="dxa" w:w="1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Код ОКПД</w:t>
            </w: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2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Вид детализации ОКПД</w:t>
            </w: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284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отдельного вида товара, работы, услуги</w:t>
            </w:r>
          </w:p>
        </w:tc>
        <w:tc>
          <w:tcPr>
            <w:tcW w:type="dxa" w:w="318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type="dxa" w:w="4969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Код по ОКЕИ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характеристики</w:t>
            </w: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Значение характеристики</w:t>
            </w:r>
          </w:p>
        </w:tc>
      </w:tr>
      <w:t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type="dxa" w:w="28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type="dxa" w:w="125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</w:tr>
      <w:tr>
        <w:trPr>
          <w:trHeight w:hRule="atLeast" w:val="74"/>
        </w:trPr>
        <w:tc>
          <w:tcPr>
            <w:tcW w:type="dxa" w:w="9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type="dxa" w:w="1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84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53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9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rPr>
          <w:trHeight w:hRule="atLeast" w:val="74"/>
        </w:trP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rPr>
          <w:trHeight w:hRule="atLeast" w:val="206"/>
        </w:trP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  <w:p w14:paraId="98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type="dxa" w:w="1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2840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253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93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c>
          <w:tcPr>
            <w:tcW w:type="dxa" w:w="9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  <w:tr>
        <w:trPr>
          <w:trHeight w:hRule="atLeast" w:val="200"/>
        </w:trPr>
        <w:tc>
          <w:tcPr>
            <w:tcW w:type="dxa" w:w="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3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n...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5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3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  <w:tc>
          <w:tcPr>
            <w:tcW w:type="dxa" w:w="16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30000">
            <w:pPr>
              <w:widowControl w:val="0"/>
              <w:ind/>
              <w:jc w:val="left"/>
              <w:rPr>
                <w:rFonts w:ascii="PT Astra Serif" w:hAnsi="PT Astra Serif"/>
              </w:rPr>
            </w:pPr>
          </w:p>
        </w:tc>
      </w:tr>
    </w:tbl>
    <w:p w14:paraId="AD030000">
      <w:pPr>
        <w:widowControl w:val="0"/>
        <w:ind/>
        <w:jc w:val="left"/>
        <w:rPr>
          <w:rFonts w:ascii="PT Astra Serif" w:hAnsi="PT Astra Serif"/>
          <w:sz w:val="24"/>
        </w:rPr>
      </w:pPr>
    </w:p>
    <w:sectPr>
      <w:headerReference r:id="rId1" w:type="default"/>
      <w:pgSz w:h="11906" w:orient="landscape" w:w="16838"/>
      <w:pgMar w:bottom="851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1"/>
        <w:ind w:hanging="360" w:left="720"/>
      </w:pPr>
      <w:rPr>
        <w:rFonts w:ascii="PT Astra Serif" w:hAnsi="PT Astra Serif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bullet"/>
      <w:pStyle w:val="Style_51"/>
      <w:lvlText w:val=""/>
      <w:lvlJc w:val="left"/>
      <w:pPr>
        <w:widowControl w:val="1"/>
        <w:tabs>
          <w:tab w:leader="none" w:pos="567" w:val="left"/>
        </w:tabs>
        <w:ind w:hanging="567" w:left="567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2007" w:val="left"/>
        </w:tabs>
        <w:ind w:hanging="360" w:left="200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2727" w:val="left"/>
        </w:tabs>
        <w:ind w:hanging="360" w:left="272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tabs>
          <w:tab w:leader="none" w:pos="3447" w:val="left"/>
        </w:tabs>
        <w:ind w:hanging="360" w:left="344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tabs>
          <w:tab w:leader="none" w:pos="4167" w:val="left"/>
        </w:tabs>
        <w:ind w:hanging="360" w:left="416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4887" w:val="left"/>
        </w:tabs>
        <w:ind w:hanging="360" w:left="488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tabs>
          <w:tab w:leader="none" w:pos="5607" w:val="left"/>
        </w:tabs>
        <w:ind w:hanging="360" w:left="560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tabs>
          <w:tab w:leader="none" w:pos="6327" w:val="left"/>
        </w:tabs>
        <w:ind w:hanging="360" w:left="632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7047" w:val="left"/>
        </w:tabs>
        <w:ind w:hanging="360" w:left="7047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toc 2"/>
    <w:next w:val="Style_8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Знак Знак Знак Знак Знак Знак Знак"/>
    <w:basedOn w:val="Style_8"/>
    <w:link w:val="Style_10_ch"/>
    <w:pPr>
      <w:widowControl w:val="0"/>
      <w:spacing w:after="160" w:line="240" w:lineRule="exact"/>
      <w:ind/>
      <w:jc w:val="right"/>
    </w:pPr>
    <w:rPr>
      <w:rFonts w:ascii="Times New Roman" w:hAnsi="Times New Roman"/>
      <w:sz w:val="20"/>
    </w:rPr>
  </w:style>
  <w:style w:styleId="Style_10_ch" w:type="character">
    <w:name w:val="Знак Знак Знак Знак Знак Знак Знак"/>
    <w:basedOn w:val="Style_8_ch"/>
    <w:link w:val="Style_10"/>
    <w:rPr>
      <w:rFonts w:ascii="Times New Roman" w:hAnsi="Times New Roman"/>
      <w:sz w:val="20"/>
    </w:rPr>
  </w:style>
  <w:style w:styleId="Style_11" w:type="paragraph">
    <w:name w:val="toc 4"/>
    <w:next w:val="Style_8"/>
    <w:link w:val="Style_1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s_1"/>
    <w:basedOn w:val="Style_8"/>
    <w:link w:val="Style_12_ch"/>
    <w:pPr>
      <w:widowControl w:val="1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12_ch" w:type="character">
    <w:name w:val="s_1"/>
    <w:basedOn w:val="Style_8_ch"/>
    <w:link w:val="Style_12"/>
    <w:rPr>
      <w:rFonts w:ascii="Times New Roman" w:hAnsi="Times New Roman"/>
      <w:sz w:val="24"/>
    </w:rPr>
  </w:style>
  <w:style w:styleId="Style_13" w:type="paragraph">
    <w:name w:val="heading 7"/>
    <w:basedOn w:val="Style_8"/>
    <w:next w:val="Style_8"/>
    <w:link w:val="Style_13_ch"/>
    <w:uiPriority w:val="9"/>
    <w:qFormat/>
    <w:pPr>
      <w:keepNext w:val="1"/>
      <w:widowControl w:val="1"/>
      <w:ind/>
      <w:jc w:val="left"/>
      <w:outlineLvl w:val="6"/>
    </w:pPr>
    <w:rPr>
      <w:rFonts w:ascii="Times New Roman" w:hAnsi="Times New Roman"/>
      <w:b w:val="1"/>
      <w:sz w:val="28"/>
    </w:rPr>
  </w:style>
  <w:style w:styleId="Style_13_ch" w:type="character">
    <w:name w:val="heading 7"/>
    <w:basedOn w:val="Style_8_ch"/>
    <w:link w:val="Style_13"/>
    <w:rPr>
      <w:rFonts w:ascii="Times New Roman" w:hAnsi="Times New Roman"/>
      <w:b w:val="1"/>
      <w:sz w:val="28"/>
    </w:rPr>
  </w:style>
  <w:style w:styleId="Style_14" w:type="paragraph">
    <w:name w:val="toc 6"/>
    <w:next w:val="Style_8"/>
    <w:link w:val="Style_1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8"/>
    <w:link w:val="Style_1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Текст2"/>
    <w:basedOn w:val="Style_8"/>
    <w:link w:val="Style_16_ch"/>
    <w:pPr>
      <w:widowControl w:val="1"/>
      <w:ind/>
      <w:jc w:val="left"/>
    </w:pPr>
    <w:rPr>
      <w:rFonts w:ascii="Courier New" w:hAnsi="Courier New"/>
      <w:sz w:val="20"/>
    </w:rPr>
  </w:style>
  <w:style w:styleId="Style_16_ch" w:type="character">
    <w:name w:val="Текст2"/>
    <w:basedOn w:val="Style_8_ch"/>
    <w:link w:val="Style_16"/>
    <w:rPr>
      <w:rFonts w:ascii="Courier New" w:hAnsi="Courier New"/>
      <w:sz w:val="20"/>
    </w:rPr>
  </w:style>
  <w:style w:styleId="Style_17" w:type="paragraph">
    <w:name w:val="Body Text Indent 2"/>
    <w:basedOn w:val="Style_8"/>
    <w:link w:val="Style_17_ch"/>
    <w:pPr>
      <w:widowControl w:val="1"/>
      <w:spacing w:after="120" w:line="480" w:lineRule="auto"/>
      <w:ind w:left="283"/>
      <w:jc w:val="left"/>
    </w:pPr>
    <w:rPr>
      <w:rFonts w:ascii="Times New Roman" w:hAnsi="Times New Roman"/>
      <w:sz w:val="24"/>
    </w:rPr>
  </w:style>
  <w:style w:styleId="Style_17_ch" w:type="character">
    <w:name w:val="Body Text Indent 2"/>
    <w:basedOn w:val="Style_8_ch"/>
    <w:link w:val="Style_17"/>
    <w:rPr>
      <w:rFonts w:ascii="Times New Roman" w:hAnsi="Times New Roman"/>
      <w:sz w:val="24"/>
    </w:rPr>
  </w:style>
  <w:style w:styleId="Style_18" w:type="paragraph">
    <w:name w:val="xl74"/>
    <w:basedOn w:val="Style_8"/>
    <w:link w:val="Style_18_ch"/>
    <w:pPr>
      <w:widowControl w:val="1"/>
      <w:pBdr>
        <w:top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18_ch" w:type="character">
    <w:name w:val="xl74"/>
    <w:basedOn w:val="Style_8_ch"/>
    <w:link w:val="Style_18"/>
    <w:rPr>
      <w:rFonts w:ascii="Times New Roman" w:hAnsi="Times New Roman"/>
      <w:sz w:val="24"/>
    </w:rPr>
  </w:style>
  <w:style w:styleId="Style_19" w:type="paragraph">
    <w:name w:val="Endnote"/>
    <w:basedOn w:val="Style_8"/>
    <w:link w:val="Style_19_ch"/>
    <w:pPr>
      <w:widowControl w:val="1"/>
      <w:spacing w:after="200" w:line="276" w:lineRule="auto"/>
      <w:ind/>
      <w:jc w:val="left"/>
    </w:pPr>
    <w:rPr>
      <w:rFonts w:ascii="Calibri" w:hAnsi="Calibri"/>
      <w:sz w:val="20"/>
    </w:rPr>
  </w:style>
  <w:style w:styleId="Style_19_ch" w:type="character">
    <w:name w:val="Endnote"/>
    <w:basedOn w:val="Style_8_ch"/>
    <w:link w:val="Style_19"/>
    <w:rPr>
      <w:rFonts w:ascii="Calibri" w:hAnsi="Calibri"/>
      <w:sz w:val="20"/>
    </w:rPr>
  </w:style>
  <w:style w:styleId="Style_20" w:type="paragraph">
    <w:name w:val="heading 3"/>
    <w:basedOn w:val="Style_8"/>
    <w:next w:val="Style_8"/>
    <w:link w:val="Style_20_ch"/>
    <w:uiPriority w:val="9"/>
    <w:qFormat/>
    <w:pPr>
      <w:keepNext w:val="1"/>
      <w:widowControl w:val="1"/>
      <w:ind/>
      <w:jc w:val="center"/>
      <w:outlineLvl w:val="2"/>
    </w:pPr>
    <w:rPr>
      <w:rFonts w:ascii="Times New Roman" w:hAnsi="Times New Roman"/>
      <w:b w:val="1"/>
      <w:sz w:val="28"/>
    </w:rPr>
  </w:style>
  <w:style w:styleId="Style_20_ch" w:type="character">
    <w:name w:val="heading 3"/>
    <w:basedOn w:val="Style_8_ch"/>
    <w:link w:val="Style_20"/>
    <w:rPr>
      <w:rFonts w:ascii="Times New Roman" w:hAnsi="Times New Roman"/>
      <w:b w:val="1"/>
      <w:sz w:val="28"/>
    </w:rPr>
  </w:style>
  <w:style w:styleId="Style_21" w:type="paragraph">
    <w:name w:val="Обычный1"/>
    <w:link w:val="Style_21_ch"/>
    <w:pPr>
      <w:widowControl w:val="0"/>
      <w:tabs>
        <w:tab w:leader="none" w:pos="709" w:val="left"/>
      </w:tabs>
      <w:ind/>
    </w:pPr>
    <w:rPr>
      <w:rFonts w:ascii="Times New Roman" w:hAnsi="Times New Roman"/>
      <w:sz w:val="24"/>
    </w:rPr>
  </w:style>
  <w:style w:styleId="Style_21_ch" w:type="character">
    <w:name w:val="Обычный1"/>
    <w:link w:val="Style_21"/>
    <w:rPr>
      <w:rFonts w:ascii="Times New Roman" w:hAnsi="Times New Roman"/>
      <w:sz w:val="24"/>
    </w:rPr>
  </w:style>
  <w:style w:styleId="Style_22" w:type="paragraph">
    <w:name w:val="tekstob"/>
    <w:basedOn w:val="Style_8"/>
    <w:link w:val="Style_22_ch"/>
    <w:pPr>
      <w:widowControl w:val="1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2_ch" w:type="character">
    <w:name w:val="tekstob"/>
    <w:basedOn w:val="Style_8_ch"/>
    <w:link w:val="Style_22"/>
    <w:rPr>
      <w:rFonts w:ascii="Times New Roman" w:hAnsi="Times New Roman"/>
      <w:sz w:val="24"/>
    </w:rPr>
  </w:style>
  <w:style w:styleId="Style_23" w:type="paragraph">
    <w:name w:val="Iau?iue1"/>
    <w:link w:val="Style_23_ch"/>
    <w:pPr>
      <w:widowControl w:val="1"/>
      <w:tabs>
        <w:tab w:leader="none" w:pos="709" w:val="left"/>
      </w:tabs>
      <w:ind/>
    </w:pPr>
    <w:rPr>
      <w:rFonts w:ascii="Times New Roman" w:hAnsi="Times New Roman"/>
      <w:sz w:val="24"/>
    </w:rPr>
  </w:style>
  <w:style w:styleId="Style_23_ch" w:type="character">
    <w:name w:val="Iau?iue1"/>
    <w:link w:val="Style_23"/>
    <w:rPr>
      <w:rFonts w:ascii="Times New Roman" w:hAnsi="Times New Roman"/>
      <w:sz w:val="24"/>
    </w:rPr>
  </w:style>
  <w:style w:styleId="Style_24" w:type="paragraph">
    <w:name w:val="Текст1"/>
    <w:basedOn w:val="Style_8"/>
    <w:link w:val="Style_24_ch"/>
    <w:pPr>
      <w:widowControl w:val="1"/>
      <w:ind/>
      <w:jc w:val="left"/>
    </w:pPr>
    <w:rPr>
      <w:rFonts w:ascii="Courier New" w:hAnsi="Courier New"/>
      <w:sz w:val="20"/>
    </w:rPr>
  </w:style>
  <w:style w:styleId="Style_24_ch" w:type="character">
    <w:name w:val="Текст1"/>
    <w:basedOn w:val="Style_8_ch"/>
    <w:link w:val="Style_24"/>
    <w:rPr>
      <w:rFonts w:ascii="Courier New" w:hAnsi="Courier New"/>
      <w:sz w:val="20"/>
    </w:rPr>
  </w:style>
  <w:style w:styleId="Style_25" w:type="paragraph">
    <w:name w:val="footer"/>
    <w:basedOn w:val="Style_8"/>
    <w:link w:val="Style_25_ch"/>
    <w:pPr>
      <w:widowControl w:val="1"/>
      <w:tabs>
        <w:tab w:leader="none" w:pos="4677" w:val="center"/>
        <w:tab w:leader="none" w:pos="9355" w:val="right"/>
      </w:tabs>
      <w:ind/>
      <w:jc w:val="left"/>
    </w:pPr>
  </w:style>
  <w:style w:styleId="Style_25_ch" w:type="character">
    <w:name w:val="footer"/>
    <w:basedOn w:val="Style_8_ch"/>
    <w:link w:val="Style_25"/>
  </w:style>
  <w:style w:styleId="Style_26" w:type="paragraph">
    <w:name w:val="s_10"/>
    <w:basedOn w:val="Style_27"/>
    <w:link w:val="Style_26_ch"/>
  </w:style>
  <w:style w:styleId="Style_26_ch" w:type="character">
    <w:name w:val="s_10"/>
    <w:basedOn w:val="Style_27_ch"/>
    <w:link w:val="Style_26"/>
  </w:style>
  <w:style w:styleId="Style_28" w:type="paragraph">
    <w:name w:val="FollowedHyperlink"/>
    <w:link w:val="Style_28_ch"/>
    <w:rPr>
      <w:color w:val="800080"/>
      <w:u w:val="single"/>
    </w:rPr>
  </w:style>
  <w:style w:styleId="Style_28_ch" w:type="character">
    <w:name w:val="FollowedHyperlink"/>
    <w:link w:val="Style_28"/>
    <w:rPr>
      <w:color w:val="800080"/>
      <w:u w:val="single"/>
    </w:rPr>
  </w:style>
  <w:style w:styleId="Style_29" w:type="paragraph">
    <w:name w:val="HTML Preformatted"/>
    <w:basedOn w:val="Style_8"/>
    <w:link w:val="Style_29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  <w:jc w:val="left"/>
    </w:pPr>
    <w:rPr>
      <w:rFonts w:ascii="Courier New" w:hAnsi="Courier New"/>
      <w:sz w:val="20"/>
    </w:rPr>
  </w:style>
  <w:style w:styleId="Style_29_ch" w:type="character">
    <w:name w:val="HTML Preformatted"/>
    <w:basedOn w:val="Style_8_ch"/>
    <w:link w:val="Style_29"/>
    <w:rPr>
      <w:rFonts w:ascii="Courier New" w:hAnsi="Courier New"/>
      <w:sz w:val="20"/>
    </w:rPr>
  </w:style>
  <w:style w:styleId="Style_30" w:type="paragraph">
    <w:name w:val="heading 9"/>
    <w:basedOn w:val="Style_8"/>
    <w:next w:val="Style_8"/>
    <w:link w:val="Style_30_ch"/>
    <w:uiPriority w:val="9"/>
    <w:qFormat/>
    <w:pPr>
      <w:keepNext w:val="1"/>
      <w:widowControl w:val="1"/>
      <w:ind/>
      <w:jc w:val="left"/>
      <w:outlineLvl w:val="8"/>
    </w:pPr>
    <w:rPr>
      <w:rFonts w:ascii="Times New Roman" w:hAnsi="Times New Roman"/>
      <w:b w:val="1"/>
      <w:sz w:val="26"/>
    </w:rPr>
  </w:style>
  <w:style w:styleId="Style_30_ch" w:type="character">
    <w:name w:val="heading 9"/>
    <w:basedOn w:val="Style_8_ch"/>
    <w:link w:val="Style_30"/>
    <w:rPr>
      <w:rFonts w:ascii="Times New Roman" w:hAnsi="Times New Roman"/>
      <w:b w:val="1"/>
      <w:sz w:val="26"/>
    </w:rPr>
  </w:style>
  <w:style w:styleId="Style_31" w:type="paragraph">
    <w:name w:val="FR4"/>
    <w:link w:val="Style_31_ch"/>
    <w:pPr>
      <w:widowControl w:val="0"/>
      <w:spacing w:line="300" w:lineRule="auto"/>
      <w:ind w:firstLine="740"/>
      <w:jc w:val="left"/>
    </w:pPr>
    <w:rPr>
      <w:rFonts w:ascii="Courier New" w:hAnsi="Courier New"/>
      <w:sz w:val="28"/>
    </w:rPr>
  </w:style>
  <w:style w:styleId="Style_31_ch" w:type="character">
    <w:name w:val="FR4"/>
    <w:link w:val="Style_31"/>
    <w:rPr>
      <w:rFonts w:ascii="Courier New" w:hAnsi="Courier New"/>
      <w:sz w:val="28"/>
    </w:rPr>
  </w:style>
  <w:style w:styleId="Style_32" w:type="paragraph">
    <w:name w:val="! AAA ! Знак Знак Знак Знак Знак Знак Знак Знак"/>
    <w:link w:val="Style_32_ch"/>
    <w:pPr>
      <w:widowControl w:val="1"/>
      <w:spacing w:after="120"/>
      <w:ind/>
    </w:pPr>
    <w:rPr>
      <w:rFonts w:ascii="Times New Roman" w:hAnsi="Times New Roman"/>
      <w:sz w:val="24"/>
    </w:rPr>
  </w:style>
  <w:style w:styleId="Style_32_ch" w:type="character">
    <w:name w:val="! AAA ! Знак Знак Знак Знак Знак Знак Знак Знак"/>
    <w:link w:val="Style_32"/>
    <w:rPr>
      <w:rFonts w:ascii="Times New Roman" w:hAnsi="Times New Roman"/>
      <w:sz w:val="24"/>
    </w:rPr>
  </w:style>
  <w:style w:styleId="Style_33" w:type="paragraph">
    <w:name w:val="line number"/>
    <w:basedOn w:val="Style_27"/>
    <w:link w:val="Style_33_ch"/>
  </w:style>
  <w:style w:styleId="Style_33_ch" w:type="character">
    <w:name w:val="line number"/>
    <w:basedOn w:val="Style_27_ch"/>
    <w:link w:val="Style_33"/>
  </w:style>
  <w:style w:styleId="Style_34" w:type="paragraph">
    <w:name w:val="Знак Знак Знак Знак"/>
    <w:basedOn w:val="Style_8"/>
    <w:link w:val="Style_34_ch"/>
    <w:pPr>
      <w:widowControl w:val="1"/>
      <w:ind/>
      <w:jc w:val="left"/>
    </w:pPr>
    <w:rPr>
      <w:rFonts w:ascii="Verdana" w:hAnsi="Verdana"/>
      <w:sz w:val="20"/>
    </w:rPr>
  </w:style>
  <w:style w:styleId="Style_34_ch" w:type="character">
    <w:name w:val="Знак Знак Знак Знак"/>
    <w:basedOn w:val="Style_8_ch"/>
    <w:link w:val="Style_34"/>
    <w:rPr>
      <w:rFonts w:ascii="Verdana" w:hAnsi="Verdana"/>
      <w:sz w:val="20"/>
    </w:rPr>
  </w:style>
  <w:style w:styleId="Style_35" w:type="paragraph">
    <w:name w:val="xl71"/>
    <w:basedOn w:val="Style_8"/>
    <w:link w:val="Style_35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8"/>
    </w:rPr>
  </w:style>
  <w:style w:styleId="Style_35_ch" w:type="character">
    <w:name w:val="xl71"/>
    <w:basedOn w:val="Style_8_ch"/>
    <w:link w:val="Style_35"/>
    <w:rPr>
      <w:rFonts w:ascii="Times New Roman" w:hAnsi="Times New Roman"/>
      <w:sz w:val="28"/>
    </w:rPr>
  </w:style>
  <w:style w:styleId="Style_7" w:type="paragraph">
    <w:name w:val="ConsPlusNormal"/>
    <w:link w:val="Style_7_ch"/>
    <w:pPr>
      <w:widowControl w:val="0"/>
      <w:ind w:firstLine="720"/>
      <w:jc w:val="left"/>
    </w:pPr>
    <w:rPr>
      <w:rFonts w:ascii="Arial" w:hAnsi="Arial"/>
      <w:sz w:val="20"/>
    </w:rPr>
  </w:style>
  <w:style w:styleId="Style_7_ch" w:type="character">
    <w:name w:val="ConsPlusNormal"/>
    <w:link w:val="Style_7"/>
    <w:rPr>
      <w:rFonts w:ascii="Arial" w:hAnsi="Arial"/>
      <w:sz w:val="20"/>
    </w:rPr>
  </w:style>
  <w:style w:styleId="Style_36" w:type="paragraph">
    <w:name w:val="toc 3"/>
    <w:next w:val="Style_8"/>
    <w:link w:val="Style_3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36_ch" w:type="character">
    <w:name w:val="toc 3"/>
    <w:link w:val="Style_36"/>
    <w:rPr>
      <w:rFonts w:ascii="XO Thames" w:hAnsi="XO Thames"/>
      <w:sz w:val="28"/>
    </w:rPr>
  </w:style>
  <w:style w:styleId="Style_37" w:type="paragraph">
    <w:name w:val="Знак Знак2"/>
    <w:basedOn w:val="Style_8"/>
    <w:link w:val="Style_37_ch"/>
    <w:pPr>
      <w:widowControl w:val="1"/>
      <w:spacing w:afterAutospacing="on" w:beforeAutospacing="on"/>
      <w:ind/>
      <w:jc w:val="left"/>
    </w:pPr>
    <w:rPr>
      <w:rFonts w:ascii="Tahoma" w:hAnsi="Tahoma"/>
      <w:sz w:val="20"/>
    </w:rPr>
  </w:style>
  <w:style w:styleId="Style_37_ch" w:type="character">
    <w:name w:val="Знак Знак2"/>
    <w:basedOn w:val="Style_8_ch"/>
    <w:link w:val="Style_37"/>
    <w:rPr>
      <w:rFonts w:ascii="Tahoma" w:hAnsi="Tahoma"/>
      <w:sz w:val="20"/>
    </w:rPr>
  </w:style>
  <w:style w:styleId="Style_38" w:type="paragraph">
    <w:name w:val="Placeholder Text"/>
    <w:link w:val="Style_38_ch"/>
    <w:rPr>
      <w:color w:val="808080"/>
    </w:rPr>
  </w:style>
  <w:style w:styleId="Style_38_ch" w:type="character">
    <w:name w:val="Placeholder Text"/>
    <w:link w:val="Style_38"/>
    <w:rPr>
      <w:color w:val="808080"/>
    </w:rPr>
  </w:style>
  <w:style w:styleId="Style_39" w:type="paragraph">
    <w:name w:val="xl68"/>
    <w:basedOn w:val="Style_8"/>
    <w:link w:val="Style_3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39_ch" w:type="character">
    <w:name w:val="xl68"/>
    <w:basedOn w:val="Style_8_ch"/>
    <w:link w:val="Style_39"/>
    <w:rPr>
      <w:rFonts w:ascii="Times New Roman" w:hAnsi="Times New Roman"/>
      <w:sz w:val="24"/>
    </w:rPr>
  </w:style>
  <w:style w:styleId="Style_40" w:type="paragraph">
    <w:name w:val="Body Text"/>
    <w:basedOn w:val="Style_8"/>
    <w:link w:val="Style_40_ch"/>
    <w:pPr>
      <w:widowControl w:val="1"/>
      <w:spacing w:after="120"/>
      <w:ind/>
      <w:jc w:val="left"/>
    </w:pPr>
    <w:rPr>
      <w:rFonts w:ascii="Times New Roman" w:hAnsi="Times New Roman"/>
      <w:sz w:val="20"/>
    </w:rPr>
  </w:style>
  <w:style w:styleId="Style_40_ch" w:type="character">
    <w:name w:val="Body Text"/>
    <w:basedOn w:val="Style_8_ch"/>
    <w:link w:val="Style_40"/>
    <w:rPr>
      <w:rFonts w:ascii="Times New Roman" w:hAnsi="Times New Roman"/>
      <w:sz w:val="20"/>
    </w:rPr>
  </w:style>
  <w:style w:styleId="Style_41" w:type="paragraph">
    <w:name w:val="footnote reference"/>
    <w:link w:val="Style_41_ch"/>
    <w:rPr>
      <w:rFonts w:ascii="Times New Roman" w:hAnsi="Times New Roman"/>
      <w:vertAlign w:val="superscript"/>
    </w:rPr>
  </w:style>
  <w:style w:styleId="Style_41_ch" w:type="character">
    <w:name w:val="footnote reference"/>
    <w:link w:val="Style_41"/>
    <w:rPr>
      <w:rFonts w:ascii="Times New Roman" w:hAnsi="Times New Roman"/>
      <w:vertAlign w:val="superscript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3" w:type="paragraph">
    <w:name w:val="List Paragraph"/>
    <w:basedOn w:val="Style_8"/>
    <w:link w:val="Style_3_ch"/>
    <w:pPr>
      <w:widowControl w:val="1"/>
      <w:ind w:left="720"/>
      <w:contextualSpacing w:val="1"/>
      <w:jc w:val="left"/>
    </w:pPr>
    <w:rPr>
      <w:rFonts w:ascii="Times New Roman" w:hAnsi="Times New Roman"/>
      <w:sz w:val="24"/>
    </w:rPr>
  </w:style>
  <w:style w:styleId="Style_3_ch" w:type="character">
    <w:name w:val="List Paragraph"/>
    <w:basedOn w:val="Style_8_ch"/>
    <w:link w:val="Style_3"/>
    <w:rPr>
      <w:rFonts w:ascii="Times New Roman" w:hAnsi="Times New Roman"/>
      <w:sz w:val="24"/>
    </w:rPr>
  </w:style>
  <w:style w:styleId="Style_42" w:type="paragraph">
    <w:name w:val="endnote reference"/>
    <w:link w:val="Style_42_ch"/>
    <w:rPr>
      <w:vertAlign w:val="superscript"/>
    </w:rPr>
  </w:style>
  <w:style w:styleId="Style_42_ch" w:type="character">
    <w:name w:val="endnote reference"/>
    <w:link w:val="Style_42"/>
    <w:rPr>
      <w:vertAlign w:val="superscript"/>
    </w:rPr>
  </w:style>
  <w:style w:styleId="Style_43" w:type="paragraph">
    <w:name w:val="heading 5"/>
    <w:basedOn w:val="Style_8"/>
    <w:next w:val="Style_8"/>
    <w:link w:val="Style_43_ch"/>
    <w:uiPriority w:val="9"/>
    <w:qFormat/>
    <w:pPr>
      <w:keepNext w:val="1"/>
      <w:widowControl w:val="1"/>
      <w:ind/>
      <w:jc w:val="left"/>
      <w:outlineLvl w:val="4"/>
    </w:pPr>
    <w:rPr>
      <w:rFonts w:ascii="Times New Roman" w:hAnsi="Times New Roman"/>
      <w:b w:val="1"/>
      <w:sz w:val="28"/>
    </w:rPr>
  </w:style>
  <w:style w:styleId="Style_43_ch" w:type="character">
    <w:name w:val="heading 5"/>
    <w:basedOn w:val="Style_8_ch"/>
    <w:link w:val="Style_43"/>
    <w:rPr>
      <w:rFonts w:ascii="Times New Roman" w:hAnsi="Times New Roman"/>
      <w:b w:val="1"/>
      <w:sz w:val="28"/>
    </w:rPr>
  </w:style>
  <w:style w:styleId="Style_44" w:type="paragraph">
    <w:name w:val="xl69"/>
    <w:basedOn w:val="Style_8"/>
    <w:link w:val="Style_4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44_ch" w:type="character">
    <w:name w:val="xl69"/>
    <w:basedOn w:val="Style_8_ch"/>
    <w:link w:val="Style_44"/>
    <w:rPr>
      <w:rFonts w:ascii="Times New Roman" w:hAnsi="Times New Roman"/>
      <w:sz w:val="24"/>
    </w:rPr>
  </w:style>
  <w:style w:styleId="Style_45" w:type="paragraph">
    <w:name w:val="Body Text Indent"/>
    <w:basedOn w:val="Style_8"/>
    <w:link w:val="Style_45_ch"/>
    <w:pPr>
      <w:widowControl w:val="1"/>
      <w:ind w:firstLine="5670"/>
      <w:jc w:val="center"/>
    </w:pPr>
    <w:rPr>
      <w:rFonts w:ascii="Times New Roman" w:hAnsi="Times New Roman"/>
      <w:b w:val="1"/>
      <w:sz w:val="28"/>
    </w:rPr>
  </w:style>
  <w:style w:styleId="Style_45_ch" w:type="character">
    <w:name w:val="Body Text Indent"/>
    <w:basedOn w:val="Style_8_ch"/>
    <w:link w:val="Style_45"/>
    <w:rPr>
      <w:rFonts w:ascii="Times New Roman" w:hAnsi="Times New Roman"/>
      <w:b w:val="1"/>
      <w:sz w:val="28"/>
    </w:rPr>
  </w:style>
  <w:style w:styleId="Style_46" w:type="paragraph">
    <w:name w:val="heading 1"/>
    <w:basedOn w:val="Style_8"/>
    <w:next w:val="Style_8"/>
    <w:link w:val="Style_46_ch"/>
    <w:uiPriority w:val="9"/>
    <w:qFormat/>
    <w:pPr>
      <w:keepNext w:val="1"/>
      <w:widowControl w:val="1"/>
      <w:ind w:firstLine="709"/>
      <w:jc w:val="center"/>
      <w:outlineLvl w:val="0"/>
    </w:pPr>
    <w:rPr>
      <w:rFonts w:ascii="Times New Roman" w:hAnsi="Times New Roman"/>
      <w:sz w:val="28"/>
      <w:u w:val="single"/>
    </w:rPr>
  </w:style>
  <w:style w:styleId="Style_46_ch" w:type="character">
    <w:name w:val="heading 1"/>
    <w:basedOn w:val="Style_8_ch"/>
    <w:link w:val="Style_46"/>
    <w:rPr>
      <w:rFonts w:ascii="Times New Roman" w:hAnsi="Times New Roman"/>
      <w:sz w:val="28"/>
      <w:u w:val="single"/>
    </w:rPr>
  </w:style>
  <w:style w:styleId="Style_47" w:type="paragraph">
    <w:name w:val="ConsPlusTitle"/>
    <w:link w:val="Style_47_ch"/>
    <w:pPr>
      <w:widowControl w:val="0"/>
      <w:ind/>
      <w:jc w:val="left"/>
    </w:pPr>
    <w:rPr>
      <w:rFonts w:ascii="Times New Roman" w:hAnsi="Times New Roman"/>
      <w:b w:val="1"/>
      <w:sz w:val="20"/>
    </w:rPr>
  </w:style>
  <w:style w:styleId="Style_47_ch" w:type="character">
    <w:name w:val="ConsPlusTitle"/>
    <w:link w:val="Style_47"/>
    <w:rPr>
      <w:rFonts w:ascii="Times New Roman" w:hAnsi="Times New Roman"/>
      <w:b w:val="1"/>
      <w:sz w:val="20"/>
    </w:rPr>
  </w:style>
  <w:style w:styleId="Style_48" w:type="paragraph">
    <w:name w:val="xl70"/>
    <w:basedOn w:val="Style_8"/>
    <w:link w:val="Style_4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20"/>
    </w:rPr>
  </w:style>
  <w:style w:styleId="Style_48_ch" w:type="character">
    <w:name w:val="xl70"/>
    <w:basedOn w:val="Style_8_ch"/>
    <w:link w:val="Style_48"/>
    <w:rPr>
      <w:rFonts w:ascii="Times New Roman" w:hAnsi="Times New Roman"/>
      <w:sz w:val="20"/>
    </w:rPr>
  </w:style>
  <w:style w:styleId="Style_49" w:type="paragraph">
    <w:name w:val="ConsPlusCell"/>
    <w:link w:val="Style_49_ch"/>
    <w:pPr>
      <w:widowControl w:val="1"/>
      <w:ind/>
      <w:jc w:val="left"/>
    </w:pPr>
    <w:rPr>
      <w:rFonts w:ascii="Arial" w:hAnsi="Arial"/>
      <w:sz w:val="20"/>
    </w:rPr>
  </w:style>
  <w:style w:styleId="Style_49_ch" w:type="character">
    <w:name w:val="ConsPlusCell"/>
    <w:link w:val="Style_49"/>
    <w:rPr>
      <w:rFonts w:ascii="Arial" w:hAnsi="Arial"/>
      <w:sz w:val="20"/>
    </w:rPr>
  </w:style>
  <w:style w:styleId="Style_50" w:type="paragraph">
    <w:name w:val="Footer Char"/>
    <w:link w:val="Style_50_ch"/>
    <w:rPr>
      <w:rFonts w:ascii="Times New Roman" w:hAnsi="Times New Roman"/>
      <w:sz w:val="24"/>
    </w:rPr>
  </w:style>
  <w:style w:styleId="Style_50_ch" w:type="character">
    <w:name w:val="Footer Char"/>
    <w:link w:val="Style_50"/>
    <w:rPr>
      <w:rFonts w:ascii="Times New Roman" w:hAnsi="Times New Roman"/>
      <w:sz w:val="24"/>
    </w:rPr>
  </w:style>
  <w:style w:styleId="Style_51" w:type="paragraph">
    <w:name w:val="! L=bullit ! Знак Знак"/>
    <w:basedOn w:val="Style_32"/>
    <w:link w:val="Style_51_ch"/>
    <w:pPr>
      <w:widowControl w:val="1"/>
      <w:numPr>
        <w:numId w:val="2"/>
      </w:numPr>
      <w:tabs>
        <w:tab w:leader="none" w:pos="360" w:val="left"/>
        <w:tab w:leader="none" w:pos="567" w:val="clear"/>
        <w:tab w:leader="none" w:pos="720" w:val="left"/>
      </w:tabs>
      <w:spacing w:after="60" w:before="60"/>
      <w:ind w:firstLine="0" w:left="0"/>
    </w:pPr>
    <w:rPr>
      <w:color w:val="000000"/>
    </w:rPr>
  </w:style>
  <w:style w:styleId="Style_51_ch" w:type="character">
    <w:name w:val="! L=bullit ! Знак Знак"/>
    <w:basedOn w:val="Style_32_ch"/>
    <w:link w:val="Style_51"/>
    <w:rPr>
      <w:color w:val="000000"/>
    </w:rPr>
  </w:style>
  <w:style w:styleId="Style_52" w:type="paragraph">
    <w:name w:val="! B !"/>
    <w:basedOn w:val="Style_32"/>
    <w:next w:val="Style_32"/>
    <w:link w:val="Style_52_ch"/>
    <w:rPr>
      <w:b w:val="1"/>
      <w:color w:val="000000"/>
    </w:rPr>
  </w:style>
  <w:style w:styleId="Style_52_ch" w:type="character">
    <w:name w:val="! B !"/>
    <w:basedOn w:val="Style_32_ch"/>
    <w:link w:val="Style_52"/>
    <w:rPr>
      <w:b w:val="1"/>
      <w:color w:val="000000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53" w:type="paragraph">
    <w:name w:val="Footnote"/>
    <w:basedOn w:val="Style_8"/>
    <w:link w:val="Style_53_ch"/>
    <w:pPr>
      <w:widowControl w:val="1"/>
      <w:ind/>
      <w:jc w:val="left"/>
    </w:pPr>
    <w:rPr>
      <w:rFonts w:ascii="Calibri" w:hAnsi="Calibri"/>
      <w:sz w:val="20"/>
    </w:rPr>
  </w:style>
  <w:style w:styleId="Style_53_ch" w:type="character">
    <w:name w:val="Footnote"/>
    <w:basedOn w:val="Style_8_ch"/>
    <w:link w:val="Style_53"/>
    <w:rPr>
      <w:rFonts w:ascii="Calibri" w:hAnsi="Calibri"/>
      <w:sz w:val="20"/>
    </w:rPr>
  </w:style>
  <w:style w:styleId="Style_54" w:type="paragraph">
    <w:name w:val="heading 8"/>
    <w:basedOn w:val="Style_8"/>
    <w:next w:val="Style_8"/>
    <w:link w:val="Style_54_ch"/>
    <w:uiPriority w:val="9"/>
    <w:qFormat/>
    <w:pPr>
      <w:keepNext w:val="1"/>
      <w:widowControl w:val="1"/>
      <w:ind/>
      <w:jc w:val="left"/>
      <w:outlineLvl w:val="7"/>
    </w:pPr>
    <w:rPr>
      <w:rFonts w:ascii="Times New Roman" w:hAnsi="Times New Roman"/>
      <w:sz w:val="28"/>
    </w:rPr>
  </w:style>
  <w:style w:styleId="Style_54_ch" w:type="character">
    <w:name w:val="heading 8"/>
    <w:basedOn w:val="Style_8_ch"/>
    <w:link w:val="Style_54"/>
    <w:rPr>
      <w:rFonts w:ascii="Times New Roman" w:hAnsi="Times New Roman"/>
      <w:sz w:val="28"/>
    </w:rPr>
  </w:style>
  <w:style w:styleId="Style_5" w:type="paragraph">
    <w:name w:val="No Spacing"/>
    <w:link w:val="Style_5_ch"/>
    <w:pPr>
      <w:widowControl w:val="1"/>
      <w:ind/>
      <w:jc w:val="left"/>
    </w:pPr>
    <w:rPr>
      <w:rFonts w:ascii="Times New Roman" w:hAnsi="Times New Roman"/>
      <w:sz w:val="24"/>
    </w:rPr>
  </w:style>
  <w:style w:styleId="Style_5_ch" w:type="character">
    <w:name w:val="No Spacing"/>
    <w:link w:val="Style_5"/>
    <w:rPr>
      <w:rFonts w:ascii="Times New Roman" w:hAnsi="Times New Roman"/>
      <w:sz w:val="24"/>
    </w:rPr>
  </w:style>
  <w:style w:styleId="Style_55" w:type="paragraph">
    <w:name w:val="toc 1"/>
    <w:next w:val="Style_8"/>
    <w:link w:val="Style_5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55_ch" w:type="character">
    <w:name w:val="toc 1"/>
    <w:link w:val="Style_55"/>
    <w:rPr>
      <w:rFonts w:ascii="XO Thames" w:hAnsi="XO Thames"/>
      <w:b w:val="1"/>
      <w:sz w:val="28"/>
    </w:rPr>
  </w:style>
  <w:style w:styleId="Style_56" w:type="paragraph">
    <w:name w:val="Body Text 2"/>
    <w:basedOn w:val="Style_8"/>
    <w:link w:val="Style_56_ch"/>
    <w:rPr>
      <w:rFonts w:ascii="Times New Roman" w:hAnsi="Times New Roman"/>
      <w:sz w:val="32"/>
    </w:rPr>
  </w:style>
  <w:style w:styleId="Style_56_ch" w:type="character">
    <w:name w:val="Body Text 2"/>
    <w:basedOn w:val="Style_8_ch"/>
    <w:link w:val="Style_56"/>
    <w:rPr>
      <w:rFonts w:ascii="Times New Roman" w:hAnsi="Times New Roman"/>
      <w:sz w:val="32"/>
    </w:rPr>
  </w:style>
  <w:style w:styleId="Style_57" w:type="paragraph">
    <w:name w:val="Header and Footer"/>
    <w:link w:val="Style_5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7_ch" w:type="character">
    <w:name w:val="Header and Footer"/>
    <w:link w:val="Style_57"/>
    <w:rPr>
      <w:rFonts w:ascii="XO Thames" w:hAnsi="XO Thames"/>
      <w:sz w:val="28"/>
    </w:rPr>
  </w:style>
  <w:style w:styleId="Style_58" w:type="paragraph">
    <w:name w:val="xl72"/>
    <w:basedOn w:val="Style_8"/>
    <w:link w:val="Style_58_ch"/>
    <w:pPr>
      <w:widowControl w:val="1"/>
      <w:spacing w:afterAutospacing="on" w:beforeAutospacing="on"/>
      <w:ind/>
      <w:jc w:val="center"/>
    </w:pPr>
    <w:rPr>
      <w:rFonts w:ascii="Times New Roman" w:hAnsi="Times New Roman"/>
      <w:sz w:val="28"/>
    </w:rPr>
  </w:style>
  <w:style w:styleId="Style_58_ch" w:type="character">
    <w:name w:val="xl72"/>
    <w:basedOn w:val="Style_8_ch"/>
    <w:link w:val="Style_58"/>
    <w:rPr>
      <w:rFonts w:ascii="Times New Roman" w:hAnsi="Times New Roman"/>
      <w:sz w:val="28"/>
    </w:rPr>
  </w:style>
  <w:style w:styleId="Style_59" w:type="paragraph">
    <w:name w:val="Balloon Text"/>
    <w:basedOn w:val="Style_8"/>
    <w:link w:val="Style_59_ch"/>
    <w:rPr>
      <w:rFonts w:ascii="Tahoma" w:hAnsi="Tahoma"/>
      <w:sz w:val="16"/>
    </w:rPr>
  </w:style>
  <w:style w:styleId="Style_59_ch" w:type="character">
    <w:name w:val="Balloon Text"/>
    <w:basedOn w:val="Style_8_ch"/>
    <w:link w:val="Style_59"/>
    <w:rPr>
      <w:rFonts w:ascii="Tahoma" w:hAnsi="Tahoma"/>
      <w:sz w:val="16"/>
    </w:rPr>
  </w:style>
  <w:style w:styleId="Style_60" w:type="paragraph">
    <w:name w:val="toc 9"/>
    <w:next w:val="Style_8"/>
    <w:link w:val="Style_6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60_ch" w:type="character">
    <w:name w:val="toc 9"/>
    <w:link w:val="Style_60"/>
    <w:rPr>
      <w:rFonts w:ascii="XO Thames" w:hAnsi="XO Thames"/>
      <w:sz w:val="28"/>
    </w:rPr>
  </w:style>
  <w:style w:styleId="Style_61" w:type="paragraph">
    <w:name w:val="toc 8"/>
    <w:next w:val="Style_8"/>
    <w:link w:val="Style_6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61_ch" w:type="character">
    <w:name w:val="toc 8"/>
    <w:link w:val="Style_61"/>
    <w:rPr>
      <w:rFonts w:ascii="XO Thames" w:hAnsi="XO Thames"/>
      <w:sz w:val="28"/>
    </w:rPr>
  </w:style>
  <w:style w:styleId="Style_62" w:type="paragraph">
    <w:name w:val="xl66"/>
    <w:basedOn w:val="Style_8"/>
    <w:link w:val="Style_6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2_ch" w:type="character">
    <w:name w:val="xl66"/>
    <w:basedOn w:val="Style_8_ch"/>
    <w:link w:val="Style_62"/>
    <w:rPr>
      <w:rFonts w:ascii="Times New Roman" w:hAnsi="Times New Roman"/>
      <w:sz w:val="16"/>
    </w:rPr>
  </w:style>
  <w:style w:styleId="Style_63" w:type="paragraph">
    <w:name w:val="Body Text Indent 3"/>
    <w:basedOn w:val="Style_8"/>
    <w:link w:val="Style_63_ch"/>
    <w:pPr>
      <w:widowControl w:val="1"/>
      <w:spacing w:after="120"/>
      <w:ind w:left="283"/>
      <w:jc w:val="left"/>
    </w:pPr>
    <w:rPr>
      <w:rFonts w:ascii="Times New Roman" w:hAnsi="Times New Roman"/>
      <w:sz w:val="16"/>
    </w:rPr>
  </w:style>
  <w:style w:styleId="Style_63_ch" w:type="character">
    <w:name w:val="Body Text Indent 3"/>
    <w:basedOn w:val="Style_8_ch"/>
    <w:link w:val="Style_63"/>
    <w:rPr>
      <w:rFonts w:ascii="Times New Roman" w:hAnsi="Times New Roman"/>
      <w:sz w:val="16"/>
    </w:rPr>
  </w:style>
  <w:style w:styleId="Style_64" w:type="paragraph">
    <w:name w:val="toc 5"/>
    <w:next w:val="Style_8"/>
    <w:link w:val="Style_6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64_ch" w:type="character">
    <w:name w:val="toc 5"/>
    <w:link w:val="Style_64"/>
    <w:rPr>
      <w:rFonts w:ascii="XO Thames" w:hAnsi="XO Thames"/>
      <w:sz w:val="28"/>
    </w:rPr>
  </w:style>
  <w:style w:styleId="Style_65" w:type="paragraph">
    <w:name w:val="Normal (Web)"/>
    <w:basedOn w:val="Style_8"/>
    <w:link w:val="Style_65_ch"/>
    <w:pPr>
      <w:widowControl w:val="1"/>
      <w:ind/>
      <w:jc w:val="left"/>
    </w:pPr>
    <w:rPr>
      <w:rFonts w:ascii="Times New Roman" w:hAnsi="Times New Roman"/>
      <w:sz w:val="24"/>
    </w:rPr>
  </w:style>
  <w:style w:styleId="Style_65_ch" w:type="character">
    <w:name w:val="Normal (Web)"/>
    <w:basedOn w:val="Style_8_ch"/>
    <w:link w:val="Style_65"/>
    <w:rPr>
      <w:rFonts w:ascii="Times New Roman" w:hAnsi="Times New Roman"/>
      <w:sz w:val="24"/>
    </w:rPr>
  </w:style>
  <w:style w:styleId="Style_66" w:type="paragraph">
    <w:name w:val="right"/>
    <w:basedOn w:val="Style_8"/>
    <w:link w:val="Style_66_ch"/>
    <w:pPr>
      <w:widowControl w:val="1"/>
      <w:spacing w:afterAutospacing="on" w:beforeAutospacing="on"/>
      <w:ind w:firstLine="709"/>
      <w:jc w:val="right"/>
    </w:pPr>
    <w:rPr>
      <w:rFonts w:ascii="Times New Roman" w:hAnsi="Times New Roman"/>
      <w:sz w:val="24"/>
    </w:rPr>
  </w:style>
  <w:style w:styleId="Style_66_ch" w:type="character">
    <w:name w:val="right"/>
    <w:basedOn w:val="Style_8_ch"/>
    <w:link w:val="Style_66"/>
    <w:rPr>
      <w:rFonts w:ascii="Times New Roman" w:hAnsi="Times New Roman"/>
      <w:sz w:val="24"/>
    </w:rPr>
  </w:style>
  <w:style w:styleId="Style_67" w:type="paragraph">
    <w:name w:val="xl67"/>
    <w:basedOn w:val="Style_8"/>
    <w:link w:val="Style_6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18"/>
    </w:rPr>
  </w:style>
  <w:style w:styleId="Style_67_ch" w:type="character">
    <w:name w:val="xl67"/>
    <w:basedOn w:val="Style_8_ch"/>
    <w:link w:val="Style_67"/>
    <w:rPr>
      <w:rFonts w:ascii="Times New Roman" w:hAnsi="Times New Roman"/>
      <w:sz w:val="18"/>
    </w:rPr>
  </w:style>
  <w:style w:styleId="Style_68" w:type="paragraph">
    <w:name w:val="page number"/>
    <w:basedOn w:val="Style_27"/>
    <w:link w:val="Style_68_ch"/>
  </w:style>
  <w:style w:styleId="Style_68_ch" w:type="character">
    <w:name w:val="page number"/>
    <w:basedOn w:val="Style_27_ch"/>
    <w:link w:val="Style_68"/>
  </w:style>
  <w:style w:styleId="Style_69" w:type="paragraph">
    <w:name w:val="apple-converted-space"/>
    <w:link w:val="Style_69_ch"/>
  </w:style>
  <w:style w:styleId="Style_69_ch" w:type="character">
    <w:name w:val="apple-converted-space"/>
    <w:link w:val="Style_69"/>
  </w:style>
  <w:style w:styleId="Style_70" w:type="paragraph">
    <w:name w:val="Subtitle"/>
    <w:next w:val="Style_8"/>
    <w:link w:val="Style_7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70_ch" w:type="character">
    <w:name w:val="Subtitle"/>
    <w:link w:val="Style_70"/>
    <w:rPr>
      <w:rFonts w:ascii="XO Thames" w:hAnsi="XO Thames"/>
      <w:i w:val="1"/>
      <w:sz w:val="24"/>
    </w:rPr>
  </w:style>
  <w:style w:styleId="Style_71" w:type="paragraph">
    <w:name w:val="xl73"/>
    <w:basedOn w:val="Style_8"/>
    <w:link w:val="Style_7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24"/>
    </w:rPr>
  </w:style>
  <w:style w:styleId="Style_71_ch" w:type="character">
    <w:name w:val="xl73"/>
    <w:basedOn w:val="Style_8_ch"/>
    <w:link w:val="Style_71"/>
    <w:rPr>
      <w:rFonts w:ascii="Times New Roman" w:hAnsi="Times New Roman"/>
      <w:sz w:val="24"/>
    </w:rPr>
  </w:style>
  <w:style w:styleId="Style_72" w:type="paragraph">
    <w:name w:val="Абзац списка1"/>
    <w:basedOn w:val="Style_8"/>
    <w:link w:val="Style_72_ch"/>
    <w:pPr>
      <w:widowControl w:val="1"/>
      <w:spacing w:after="200" w:line="276" w:lineRule="auto"/>
      <w:ind w:left="720"/>
      <w:contextualSpacing w:val="1"/>
      <w:jc w:val="left"/>
    </w:pPr>
    <w:rPr>
      <w:rFonts w:ascii="Calibri" w:hAnsi="Calibri"/>
    </w:rPr>
  </w:style>
  <w:style w:styleId="Style_72_ch" w:type="character">
    <w:name w:val="Абзац списка1"/>
    <w:basedOn w:val="Style_8_ch"/>
    <w:link w:val="Style_72"/>
    <w:rPr>
      <w:rFonts w:ascii="Calibri" w:hAnsi="Calibri"/>
    </w:rPr>
  </w:style>
  <w:style w:styleId="Style_73" w:type="paragraph">
    <w:name w:val="Title"/>
    <w:next w:val="Style_8"/>
    <w:link w:val="Style_7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3_ch" w:type="character">
    <w:name w:val="Title"/>
    <w:link w:val="Style_73"/>
    <w:rPr>
      <w:rFonts w:ascii="XO Thames" w:hAnsi="XO Thames"/>
      <w:b w:val="1"/>
      <w:caps w:val="1"/>
      <w:sz w:val="40"/>
    </w:rPr>
  </w:style>
  <w:style w:styleId="Style_74" w:type="paragraph">
    <w:name w:val="heading 4"/>
    <w:basedOn w:val="Style_8"/>
    <w:next w:val="Style_8"/>
    <w:link w:val="Style_74_ch"/>
    <w:uiPriority w:val="9"/>
    <w:qFormat/>
    <w:pPr>
      <w:keepNext w:val="1"/>
      <w:widowControl w:val="1"/>
      <w:ind/>
      <w:jc w:val="center"/>
      <w:outlineLvl w:val="3"/>
    </w:pPr>
    <w:rPr>
      <w:rFonts w:ascii="Times New Roman" w:hAnsi="Times New Roman"/>
      <w:b w:val="1"/>
      <w:sz w:val="20"/>
    </w:rPr>
  </w:style>
  <w:style w:styleId="Style_74_ch" w:type="character">
    <w:name w:val="heading 4"/>
    <w:basedOn w:val="Style_8_ch"/>
    <w:link w:val="Style_74"/>
    <w:rPr>
      <w:rFonts w:ascii="Times New Roman" w:hAnsi="Times New Roman"/>
      <w:b w:val="1"/>
      <w:sz w:val="20"/>
    </w:rPr>
  </w:style>
  <w:style w:styleId="Style_75" w:type="paragraph">
    <w:name w:val="xl65"/>
    <w:basedOn w:val="Style_8"/>
    <w:link w:val="Style_75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5_ch" w:type="character">
    <w:name w:val="xl65"/>
    <w:basedOn w:val="Style_8_ch"/>
    <w:link w:val="Style_75"/>
    <w:rPr>
      <w:rFonts w:ascii="Times New Roman" w:hAnsi="Times New Roman"/>
      <w:sz w:val="14"/>
    </w:rPr>
  </w:style>
  <w:style w:styleId="Style_76" w:type="paragraph">
    <w:name w:val="Strong"/>
    <w:link w:val="Style_76_ch"/>
    <w:rPr>
      <w:b w:val="1"/>
    </w:rPr>
  </w:style>
  <w:style w:styleId="Style_76_ch" w:type="character">
    <w:name w:val="Strong"/>
    <w:link w:val="Style_76"/>
    <w:rPr>
      <w:b w:val="1"/>
    </w:rPr>
  </w:style>
  <w:style w:styleId="Style_77" w:type="paragraph">
    <w:name w:val="heading 2"/>
    <w:basedOn w:val="Style_8"/>
    <w:next w:val="Style_8"/>
    <w:link w:val="Style_77_ch"/>
    <w:uiPriority w:val="9"/>
    <w:qFormat/>
    <w:pPr>
      <w:keepNext w:val="1"/>
      <w:widowControl w:val="1"/>
      <w:ind/>
      <w:jc w:val="center"/>
      <w:outlineLvl w:val="1"/>
    </w:pPr>
    <w:rPr>
      <w:rFonts w:ascii="Times New Roman" w:hAnsi="Times New Roman"/>
      <w:b w:val="1"/>
      <w:sz w:val="24"/>
    </w:rPr>
  </w:style>
  <w:style w:styleId="Style_77_ch" w:type="character">
    <w:name w:val="heading 2"/>
    <w:basedOn w:val="Style_8_ch"/>
    <w:link w:val="Style_77"/>
    <w:rPr>
      <w:rFonts w:ascii="Times New Roman" w:hAnsi="Times New Roman"/>
      <w:b w:val="1"/>
      <w:sz w:val="24"/>
    </w:rPr>
  </w:style>
  <w:style w:styleId="Style_1" w:type="paragraph">
    <w:name w:val="header"/>
    <w:basedOn w:val="Style_8"/>
    <w:link w:val="Style_1_ch"/>
    <w:pPr>
      <w:widowControl w:val="1"/>
      <w:tabs>
        <w:tab w:leader="none" w:pos="4677" w:val="center"/>
        <w:tab w:leader="none" w:pos="9355" w:val="right"/>
      </w:tabs>
      <w:ind/>
      <w:jc w:val="left"/>
    </w:pPr>
    <w:rPr>
      <w:rFonts w:ascii="Times New Roman" w:hAnsi="Times New Roman"/>
      <w:sz w:val="24"/>
    </w:rPr>
  </w:style>
  <w:style w:styleId="Style_1_ch" w:type="character">
    <w:name w:val="header"/>
    <w:basedOn w:val="Style_8_ch"/>
    <w:link w:val="Style_1"/>
    <w:rPr>
      <w:rFonts w:ascii="Times New Roman" w:hAnsi="Times New Roman"/>
      <w:sz w:val="24"/>
    </w:rPr>
  </w:style>
  <w:style w:styleId="Style_78" w:type="paragraph">
    <w:name w:val="heading 6"/>
    <w:basedOn w:val="Style_8"/>
    <w:next w:val="Style_8"/>
    <w:link w:val="Style_78_ch"/>
    <w:uiPriority w:val="9"/>
    <w:qFormat/>
    <w:pPr>
      <w:keepNext w:val="1"/>
      <w:widowControl w:val="1"/>
      <w:ind/>
      <w:jc w:val="center"/>
      <w:outlineLvl w:val="5"/>
    </w:pPr>
    <w:rPr>
      <w:rFonts w:ascii="Times New Roman" w:hAnsi="Times New Roman"/>
      <w:sz w:val="28"/>
    </w:rPr>
  </w:style>
  <w:style w:styleId="Style_78_ch" w:type="character">
    <w:name w:val="heading 6"/>
    <w:basedOn w:val="Style_8_ch"/>
    <w:link w:val="Style_78"/>
    <w:rPr>
      <w:rFonts w:ascii="Times New Roman" w:hAnsi="Times New Roman"/>
      <w:sz w:val="28"/>
    </w:rPr>
  </w:style>
  <w:style w:styleId="Style_79" w:type="paragraph">
    <w:name w:val="Знак"/>
    <w:basedOn w:val="Style_8"/>
    <w:link w:val="Style_79_ch"/>
    <w:pPr>
      <w:widowControl w:val="1"/>
      <w:ind/>
      <w:jc w:val="left"/>
    </w:pPr>
    <w:rPr>
      <w:rFonts w:ascii="Verdana" w:hAnsi="Verdana"/>
      <w:sz w:val="20"/>
    </w:rPr>
  </w:style>
  <w:style w:styleId="Style_79_ch" w:type="character">
    <w:name w:val="Знак"/>
    <w:basedOn w:val="Style_8_ch"/>
    <w:link w:val="Style_79"/>
    <w:rPr>
      <w:rFonts w:ascii="Verdana" w:hAnsi="Verdana"/>
      <w:sz w:val="20"/>
    </w:rPr>
  </w:style>
  <w:style w:styleId="Style_80" w:type="table">
    <w:name w:val="Сетка таблицы11"/>
    <w:basedOn w:val="Style_2"/>
    <w:pPr>
      <w:widowControl w:val="1"/>
      <w:ind/>
      <w:jc w:val="left"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pPr>
      <w:widowControl w:val="1"/>
      <w:ind/>
      <w:jc w:val="left"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Сетка таблицы2"/>
    <w:basedOn w:val="Style_2"/>
    <w:pPr>
      <w:widowControl w:val="1"/>
      <w:ind/>
      <w:jc w:val="left"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Сетка таблицы3"/>
    <w:basedOn w:val="Style_2"/>
    <w:pPr>
      <w:widowControl w:val="1"/>
      <w:ind/>
      <w:jc w:val="left"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Сетка таблицы12"/>
    <w:basedOn w:val="Style_2"/>
    <w:pPr>
      <w:widowControl w:val="1"/>
      <w:spacing w:after="60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Сетка таблицы1"/>
    <w:basedOn w:val="Style_2"/>
    <w:pPr>
      <w:widowControl w:val="1"/>
      <w:ind/>
      <w:jc w:val="left"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2026-10-08T11:26:58Z</dcterms:created>
  <dcterms:modified xsi:type="dcterms:W3CDTF">2026-10-08T11:26:58Z</dcterms:modified>
</cp:coreProperties>
</file>